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4CB2" w14:textId="77777777" w:rsidR="00E74194" w:rsidRPr="000107E0" w:rsidRDefault="00227E86" w:rsidP="001417D2">
      <w:pPr>
        <w:pStyle w:val="Title"/>
        <w:rPr>
          <w:sz w:val="76"/>
          <w:szCs w:val="76"/>
        </w:rPr>
      </w:pPr>
      <w:r>
        <w:rPr>
          <w:sz w:val="76"/>
          <w:szCs w:val="76"/>
        </w:rPr>
        <w:t>Insurance philosophy</w:t>
      </w:r>
    </w:p>
    <w:p w14:paraId="3E501A69" w14:textId="12C3CE87" w:rsidR="00E74194" w:rsidRPr="008D41F6" w:rsidRDefault="00176F91" w:rsidP="008D41F6">
      <w:pPr>
        <w:pStyle w:val="Subtitle"/>
      </w:pPr>
      <w:r>
        <w:t>Example</w:t>
      </w:r>
    </w:p>
    <w:tbl>
      <w:tblPr>
        <w:tblStyle w:val="TableGrid"/>
        <w:tblW w:w="0" w:type="auto"/>
        <w:tblBorders>
          <w:top w:val="single" w:sz="8" w:space="0" w:color="91B2C4" w:themeColor="accent2"/>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3925"/>
      </w:tblGrid>
      <w:tr w:rsidR="00E74194" w14:paraId="29C334F8" w14:textId="77777777" w:rsidTr="00E74194">
        <w:tc>
          <w:tcPr>
            <w:tcW w:w="3925" w:type="dxa"/>
          </w:tcPr>
          <w:p w14:paraId="22120E81" w14:textId="46BD2DB8" w:rsidR="00E74194" w:rsidRPr="000A5F74" w:rsidRDefault="00176F91" w:rsidP="000A5F74">
            <w:pPr>
              <w:pStyle w:val="Date"/>
            </w:pPr>
            <w:r>
              <w:t>March 2026</w:t>
            </w:r>
          </w:p>
        </w:tc>
      </w:tr>
    </w:tbl>
    <w:p w14:paraId="40D3DA39" w14:textId="77777777" w:rsidR="00FC4B98" w:rsidRPr="00F12761" w:rsidRDefault="00FC4B98" w:rsidP="00F12761">
      <w:bookmarkStart w:id="0" w:name="Text7"/>
      <w:bookmarkStart w:id="1" w:name="Text4"/>
    </w:p>
    <w:p w14:paraId="1A67852A" w14:textId="77777777" w:rsidR="00F12761" w:rsidRPr="00F12761" w:rsidRDefault="00F12761" w:rsidP="00F12761"/>
    <w:p w14:paraId="106C688A" w14:textId="77777777" w:rsidR="00F12761" w:rsidRDefault="00F12761" w:rsidP="002D5B18">
      <w:pPr>
        <w:pStyle w:val="Introtext"/>
        <w:sectPr w:rsidR="00F12761" w:rsidSect="005E331C">
          <w:footerReference w:type="default" r:id="rId8"/>
          <w:footnotePr>
            <w:pos w:val="beneathText"/>
          </w:footnotePr>
          <w:type w:val="continuous"/>
          <w:pgSz w:w="16838" w:h="11906" w:orient="landscape" w:code="9"/>
          <w:pgMar w:top="4253" w:right="567" w:bottom="567" w:left="1134" w:header="284" w:footer="284" w:gutter="0"/>
          <w:cols w:space="340"/>
          <w:titlePg/>
          <w:docGrid w:linePitch="360"/>
        </w:sectPr>
      </w:pPr>
    </w:p>
    <w:bookmarkEnd w:id="0"/>
    <w:bookmarkEnd w:id="1"/>
    <w:p w14:paraId="29F3262A" w14:textId="77777777" w:rsidR="009C334D" w:rsidRDefault="009C334D" w:rsidP="00356B18"/>
    <w:p w14:paraId="700BDD4A" w14:textId="77777777" w:rsidR="006F7FA0" w:rsidRDefault="006F7FA0">
      <w:pPr>
        <w:spacing w:before="0" w:after="0" w:line="240" w:lineRule="auto"/>
      </w:pPr>
    </w:p>
    <w:p w14:paraId="12355D64" w14:textId="77777777" w:rsidR="005724B9" w:rsidRDefault="00731C72" w:rsidP="00356B18">
      <w:r>
        <w:rPr>
          <w:noProof/>
          <w:lang w:eastAsia="en-AU"/>
        </w:rPr>
        <mc:AlternateContent>
          <mc:Choice Requires="wps">
            <w:drawing>
              <wp:anchor distT="0" distB="0" distL="114300" distR="114300" simplePos="0" relativeHeight="251659264" behindDoc="0" locked="0" layoutInCell="1" allowOverlap="1" wp14:anchorId="1870281D" wp14:editId="21BFAEB0">
                <wp:simplePos x="0" y="0"/>
                <wp:positionH relativeFrom="page">
                  <wp:posOffset>276225</wp:posOffset>
                </wp:positionH>
                <wp:positionV relativeFrom="page">
                  <wp:posOffset>8105140</wp:posOffset>
                </wp:positionV>
                <wp:extent cx="7084800" cy="2562225"/>
                <wp:effectExtent l="0" t="0" r="1905" b="9525"/>
                <wp:wrapSquare wrapText="bothSides"/>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80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65"/>
                            </w:tblGrid>
                            <w:tr w:rsidR="00731C72" w14:paraId="15EDE092" w14:textId="77777777" w:rsidTr="001417D2">
                              <w:tc>
                                <w:tcPr>
                                  <w:tcW w:w="10765" w:type="dxa"/>
                                </w:tcPr>
                                <w:p w14:paraId="11D43B26" w14:textId="77777777" w:rsidR="00731C72" w:rsidRPr="006C3AC2" w:rsidRDefault="00731C72" w:rsidP="00617258">
                                  <w:pPr>
                                    <w:pStyle w:val="Footertext"/>
                                  </w:pPr>
                                </w:p>
                              </w:tc>
                            </w:tr>
                            <w:tr w:rsidR="00731C72" w14:paraId="05E60244" w14:textId="77777777" w:rsidTr="001417D2">
                              <w:tc>
                                <w:tcPr>
                                  <w:tcW w:w="10765" w:type="dxa"/>
                                  <w:shd w:val="clear" w:color="auto" w:fill="91B2C4"/>
                                  <w:tcMar>
                                    <w:top w:w="113" w:type="dxa"/>
                                    <w:left w:w="170" w:type="dxa"/>
                                    <w:bottom w:w="113" w:type="dxa"/>
                                    <w:right w:w="170" w:type="dxa"/>
                                  </w:tcMar>
                                </w:tcPr>
                                <w:p w14:paraId="61CD0A9E" w14:textId="77777777" w:rsidR="00731C72" w:rsidRPr="002D5B18" w:rsidRDefault="00731C72" w:rsidP="00617258">
                                  <w:pPr>
                                    <w:pStyle w:val="FooterHeading1"/>
                                  </w:pPr>
                                  <w:r w:rsidRPr="002D5B18">
                                    <w:t>Speak to us for more information</w:t>
                                  </w:r>
                                </w:p>
                                <w:p w14:paraId="121D377A" w14:textId="77777777" w:rsidR="00731C72" w:rsidRPr="002D5B18" w:rsidRDefault="00731C72" w:rsidP="00617258">
                                  <w:pPr>
                                    <w:pStyle w:val="Footertext"/>
                                  </w:pPr>
                                  <w:r w:rsidRPr="001417D2">
                                    <w:t>Working out how much insurance you need is not easy. It’s important to assess your needs in consultation with your Commonwealth Financial Planner. They can tailor an appropriate selection of insurance policies to sui</w:t>
                                  </w:r>
                                  <w:r>
                                    <w:t>t your individual circumstances</w:t>
                                  </w:r>
                                  <w:r w:rsidRPr="00617258">
                                    <w:t>.</w:t>
                                  </w:r>
                                </w:p>
                              </w:tc>
                            </w:tr>
                            <w:tr w:rsidR="00731C72" w14:paraId="4CFF96B3" w14:textId="77777777" w:rsidTr="00554450">
                              <w:tc>
                                <w:tcPr>
                                  <w:tcW w:w="10765" w:type="dxa"/>
                                </w:tcPr>
                                <w:p w14:paraId="63F18DFE" w14:textId="77777777" w:rsidR="00731C72" w:rsidRDefault="00731C72" w:rsidP="00C54AD8">
                                  <w:pPr>
                                    <w:pStyle w:val="Disclaimer"/>
                                    <w:rPr>
                                      <w:b/>
                                      <w:bCs/>
                                    </w:rPr>
                                  </w:pPr>
                                </w:p>
                                <w:p w14:paraId="44E13851" w14:textId="77777777" w:rsidR="00731C72" w:rsidRPr="006C3AC2" w:rsidRDefault="00731C72" w:rsidP="00C54AD8">
                                  <w:pPr>
                                    <w:pStyle w:val="Disclaimer"/>
                                    <w:rPr>
                                      <w:b/>
                                      <w:bCs/>
                                    </w:rPr>
                                  </w:pPr>
                                  <w:r w:rsidRPr="006C3AC2">
                                    <w:rPr>
                                      <w:b/>
                                      <w:bCs/>
                                    </w:rPr>
                                    <w:t>Important information</w:t>
                                  </w:r>
                                </w:p>
                                <w:p w14:paraId="0F3A5C9C" w14:textId="77777777" w:rsidR="00731C72" w:rsidRPr="00DA761F" w:rsidRDefault="00731C72" w:rsidP="00C54AD8">
                                  <w:pPr>
                                    <w:pStyle w:val="Disclaimer"/>
                                  </w:pPr>
                                  <w:r w:rsidRPr="00176678">
                                    <w:t xml:space="preserve">This document has been prepared by Count Financial Limited ABN 19 001 974 625, AFSL 227232, (Count) a wholly-owned, non-guaranteed subsidiary of Commonwealth Bank </w:t>
                                  </w:r>
                                  <w:r>
                                    <w:br/>
                                  </w:r>
                                  <w:r w:rsidRPr="00176678">
                                    <w:t>of Australia ABN 48 123 123 124. ‘Count’ and Count Wealth Accountants® are trading names of Count. Count advisers are authorised representatives of Count. Count is a Professional Partner of the Financial Planning Association of Australia Limited. Information in this document is based on current regulatory requirements and laws, which may be subject to change. While care has been taken in the preparation of this document, no liability is accepted by Count, its related entities, agents and employees for any loss arising from reliance on this document. This document is not advice and provides information only. It does not take account of your individual objectives, financial situation or needs. You should consider talking to a financial adviser before making a financial decision.</w:t>
                                  </w:r>
                                </w:p>
                              </w:tc>
                            </w:tr>
                          </w:tbl>
                          <w:p w14:paraId="04453C8E" w14:textId="77777777" w:rsidR="00731C72" w:rsidRDefault="00731C72" w:rsidP="00731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0281D" id="_x0000_t202" coordsize="21600,21600" o:spt="202" path="m,l,21600r21600,l21600,xe">
                <v:stroke joinstyle="miter"/>
                <v:path gradientshapeok="t" o:connecttype="rect"/>
              </v:shapetype>
              <v:shape id="Text Box 6" o:spid="_x0000_s1026" type="#_x0000_t202" style="position:absolute;margin-left:21.75pt;margin-top:638.2pt;width:557.85pt;height:20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65"/>
                      </w:tblGrid>
                      <w:tr w:rsidR="00731C72" w14:paraId="15EDE092" w14:textId="77777777" w:rsidTr="001417D2">
                        <w:tc>
                          <w:tcPr>
                            <w:tcW w:w="10765" w:type="dxa"/>
                          </w:tcPr>
                          <w:p w14:paraId="11D43B26" w14:textId="77777777" w:rsidR="00731C72" w:rsidRPr="006C3AC2" w:rsidRDefault="00731C72" w:rsidP="00617258">
                            <w:pPr>
                              <w:pStyle w:val="Footertext"/>
                            </w:pPr>
                          </w:p>
                        </w:tc>
                      </w:tr>
                      <w:tr w:rsidR="00731C72" w14:paraId="05E60244" w14:textId="77777777" w:rsidTr="001417D2">
                        <w:tc>
                          <w:tcPr>
                            <w:tcW w:w="10765" w:type="dxa"/>
                            <w:shd w:val="clear" w:color="auto" w:fill="91B2C4"/>
                            <w:tcMar>
                              <w:top w:w="113" w:type="dxa"/>
                              <w:left w:w="170" w:type="dxa"/>
                              <w:bottom w:w="113" w:type="dxa"/>
                              <w:right w:w="170" w:type="dxa"/>
                            </w:tcMar>
                          </w:tcPr>
                          <w:p w14:paraId="61CD0A9E" w14:textId="77777777" w:rsidR="00731C72" w:rsidRPr="002D5B18" w:rsidRDefault="00731C72" w:rsidP="00617258">
                            <w:pPr>
                              <w:pStyle w:val="FooterHeading1"/>
                            </w:pPr>
                            <w:r w:rsidRPr="002D5B18">
                              <w:t>Speak to us for more information</w:t>
                            </w:r>
                          </w:p>
                          <w:p w14:paraId="121D377A" w14:textId="77777777" w:rsidR="00731C72" w:rsidRPr="002D5B18" w:rsidRDefault="00731C72" w:rsidP="00617258">
                            <w:pPr>
                              <w:pStyle w:val="Footertext"/>
                            </w:pPr>
                            <w:r w:rsidRPr="001417D2">
                              <w:t>Working out how much insurance you need is not easy. It’s important to assess your needs in consultation with your Commonwealth Financial Planner. They can tailor an appropriate selection of insurance policies to sui</w:t>
                            </w:r>
                            <w:r>
                              <w:t>t your individual circumstances</w:t>
                            </w:r>
                            <w:r w:rsidRPr="00617258">
                              <w:t>.</w:t>
                            </w:r>
                          </w:p>
                        </w:tc>
                      </w:tr>
                      <w:tr w:rsidR="00731C72" w14:paraId="4CFF96B3" w14:textId="77777777" w:rsidTr="00554450">
                        <w:tc>
                          <w:tcPr>
                            <w:tcW w:w="10765" w:type="dxa"/>
                          </w:tcPr>
                          <w:p w14:paraId="63F18DFE" w14:textId="77777777" w:rsidR="00731C72" w:rsidRDefault="00731C72" w:rsidP="00C54AD8">
                            <w:pPr>
                              <w:pStyle w:val="Disclaimer"/>
                              <w:rPr>
                                <w:b/>
                                <w:bCs/>
                              </w:rPr>
                            </w:pPr>
                          </w:p>
                          <w:p w14:paraId="44E13851" w14:textId="77777777" w:rsidR="00731C72" w:rsidRPr="006C3AC2" w:rsidRDefault="00731C72" w:rsidP="00C54AD8">
                            <w:pPr>
                              <w:pStyle w:val="Disclaimer"/>
                              <w:rPr>
                                <w:b/>
                                <w:bCs/>
                              </w:rPr>
                            </w:pPr>
                            <w:r w:rsidRPr="006C3AC2">
                              <w:rPr>
                                <w:b/>
                                <w:bCs/>
                              </w:rPr>
                              <w:t>Important information</w:t>
                            </w:r>
                          </w:p>
                          <w:p w14:paraId="0F3A5C9C" w14:textId="77777777" w:rsidR="00731C72" w:rsidRPr="00DA761F" w:rsidRDefault="00731C72" w:rsidP="00C54AD8">
                            <w:pPr>
                              <w:pStyle w:val="Disclaimer"/>
                            </w:pPr>
                            <w:r w:rsidRPr="00176678">
                              <w:t xml:space="preserve">This document has been prepared by Count Financial Limited ABN 19 001 974 625, AFSL 227232, (Count) a wholly-owned, non-guaranteed subsidiary of Commonwealth Bank </w:t>
                            </w:r>
                            <w:r>
                              <w:br/>
                            </w:r>
                            <w:r w:rsidRPr="00176678">
                              <w:t>of Australia ABN 48 123 123 124. ‘Count’ and Count Wealth Accountants® are trading names of Count. Count advisers are authorised representatives of Count. Count is a Professional Partner of the Financial Planning Association of Australia Limited. Information in this document is based on current regulatory requirements and laws, which may be subject to change. While care has been taken in the preparation of this document, no liability is accepted by Count, its related entities, agents and employees for any loss arising from reliance on this document. This document is not advice and provides information only. It does not take account of your individual objectives, financial situation or needs. You should consider talking to a financial adviser before making a financial decision.</w:t>
                            </w:r>
                          </w:p>
                        </w:tc>
                      </w:tr>
                    </w:tbl>
                    <w:p w14:paraId="04453C8E" w14:textId="77777777" w:rsidR="00731C72" w:rsidRDefault="00731C72" w:rsidP="00731C72"/>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5168" behindDoc="0" locked="0" layoutInCell="1" allowOverlap="1" wp14:anchorId="519D5AB9" wp14:editId="1CAE3B4F">
                <wp:simplePos x="0" y="0"/>
                <wp:positionH relativeFrom="page">
                  <wp:posOffset>428625</wp:posOffset>
                </wp:positionH>
                <wp:positionV relativeFrom="page">
                  <wp:posOffset>8257540</wp:posOffset>
                </wp:positionV>
                <wp:extent cx="7084800" cy="2562225"/>
                <wp:effectExtent l="0" t="0" r="1905" b="952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80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65"/>
                            </w:tblGrid>
                            <w:tr w:rsidR="00731C72" w14:paraId="3C5871DD" w14:textId="77777777" w:rsidTr="001417D2">
                              <w:tc>
                                <w:tcPr>
                                  <w:tcW w:w="10765" w:type="dxa"/>
                                </w:tcPr>
                                <w:p w14:paraId="3B54B960" w14:textId="77777777" w:rsidR="00731C72" w:rsidRPr="006C3AC2" w:rsidRDefault="00731C72" w:rsidP="00617258">
                                  <w:pPr>
                                    <w:pStyle w:val="Footertext"/>
                                  </w:pPr>
                                </w:p>
                              </w:tc>
                            </w:tr>
                            <w:tr w:rsidR="00731C72" w14:paraId="712C0C94" w14:textId="77777777" w:rsidTr="001417D2">
                              <w:tc>
                                <w:tcPr>
                                  <w:tcW w:w="10765" w:type="dxa"/>
                                  <w:shd w:val="clear" w:color="auto" w:fill="91B2C4"/>
                                  <w:tcMar>
                                    <w:top w:w="113" w:type="dxa"/>
                                    <w:left w:w="170" w:type="dxa"/>
                                    <w:bottom w:w="113" w:type="dxa"/>
                                    <w:right w:w="170" w:type="dxa"/>
                                  </w:tcMar>
                                </w:tcPr>
                                <w:p w14:paraId="28150AE5" w14:textId="77777777" w:rsidR="00731C72" w:rsidRPr="002D5B18" w:rsidRDefault="00731C72" w:rsidP="00617258">
                                  <w:pPr>
                                    <w:pStyle w:val="FooterHeading1"/>
                                  </w:pPr>
                                  <w:r w:rsidRPr="002D5B18">
                                    <w:t>Speak to us for more information</w:t>
                                  </w:r>
                                </w:p>
                                <w:p w14:paraId="4A4FC457" w14:textId="77777777" w:rsidR="00731C72" w:rsidRPr="002D5B18" w:rsidRDefault="00731C72" w:rsidP="00617258">
                                  <w:pPr>
                                    <w:pStyle w:val="Footertext"/>
                                  </w:pPr>
                                  <w:r w:rsidRPr="001417D2">
                                    <w:t>Working out how much insurance you need is not easy. It’s important to assess your needs in consultation with your Commonwealth Financial Planner. They can tailor an appropriate selection of insurance policies to sui</w:t>
                                  </w:r>
                                  <w:r>
                                    <w:t>t your individual circumstances</w:t>
                                  </w:r>
                                  <w:r w:rsidRPr="00617258">
                                    <w:t>.</w:t>
                                  </w:r>
                                </w:p>
                              </w:tc>
                            </w:tr>
                            <w:tr w:rsidR="00731C72" w14:paraId="472EBE28" w14:textId="77777777" w:rsidTr="00554450">
                              <w:tc>
                                <w:tcPr>
                                  <w:tcW w:w="10765" w:type="dxa"/>
                                </w:tcPr>
                                <w:p w14:paraId="41EB74D7" w14:textId="77777777" w:rsidR="00731C72" w:rsidRDefault="00731C72" w:rsidP="00C54AD8">
                                  <w:pPr>
                                    <w:pStyle w:val="Disclaimer"/>
                                    <w:rPr>
                                      <w:b/>
                                      <w:bCs/>
                                    </w:rPr>
                                  </w:pPr>
                                </w:p>
                                <w:p w14:paraId="00EE2551" w14:textId="77777777" w:rsidR="00731C72" w:rsidRPr="006C3AC2" w:rsidRDefault="00731C72" w:rsidP="00C54AD8">
                                  <w:pPr>
                                    <w:pStyle w:val="Disclaimer"/>
                                    <w:rPr>
                                      <w:b/>
                                      <w:bCs/>
                                    </w:rPr>
                                  </w:pPr>
                                  <w:r w:rsidRPr="006C3AC2">
                                    <w:rPr>
                                      <w:b/>
                                      <w:bCs/>
                                    </w:rPr>
                                    <w:t>Important information</w:t>
                                  </w:r>
                                </w:p>
                                <w:p w14:paraId="4B1A334C" w14:textId="77777777" w:rsidR="00731C72" w:rsidRPr="00DA761F" w:rsidRDefault="00731C72" w:rsidP="00C54AD8">
                                  <w:pPr>
                                    <w:pStyle w:val="Disclaimer"/>
                                  </w:pPr>
                                  <w:r w:rsidRPr="00176678">
                                    <w:t xml:space="preserve">This document has been prepared by Count Financial Limited ABN 19 001 974 625, AFSL 227232, (Count) a wholly-owned, non-guaranteed subsidiary of Commonwealth Bank </w:t>
                                  </w:r>
                                  <w:r>
                                    <w:br/>
                                  </w:r>
                                  <w:r w:rsidRPr="00176678">
                                    <w:t>of Australia ABN 48 123 123 124. ‘Count’ and Count Wealth Accountants® are trading names of Count. Count advisers are authorised representatives of Count. Count is a Professional Partner of the Financial Planning Association of Australia Limited. Information in this document is based on current regulatory requirements and laws, which may be subject to change. While care has been taken in the preparation of this document, no liability is accepted by Count, its related entities, agents and employees for any loss arising from reliance on this document. This document is not advice and provides information only. It does not take account of your individual objectives, financial situation or needs. You should consider talking to a financial adviser before making a financial decision.</w:t>
                                  </w:r>
                                </w:p>
                              </w:tc>
                            </w:tr>
                          </w:tbl>
                          <w:p w14:paraId="6741D7C6" w14:textId="77777777" w:rsidR="00731C72" w:rsidRDefault="00731C72" w:rsidP="00731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5AB9" id="_x0000_s1027" type="#_x0000_t202" style="position:absolute;margin-left:33.75pt;margin-top:650.2pt;width:557.85pt;height:20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65"/>
                      </w:tblGrid>
                      <w:tr w:rsidR="00731C72" w14:paraId="3C5871DD" w14:textId="77777777" w:rsidTr="001417D2">
                        <w:tc>
                          <w:tcPr>
                            <w:tcW w:w="10765" w:type="dxa"/>
                          </w:tcPr>
                          <w:p w14:paraId="3B54B960" w14:textId="77777777" w:rsidR="00731C72" w:rsidRPr="006C3AC2" w:rsidRDefault="00731C72" w:rsidP="00617258">
                            <w:pPr>
                              <w:pStyle w:val="Footertext"/>
                            </w:pPr>
                          </w:p>
                        </w:tc>
                      </w:tr>
                      <w:tr w:rsidR="00731C72" w14:paraId="712C0C94" w14:textId="77777777" w:rsidTr="001417D2">
                        <w:tc>
                          <w:tcPr>
                            <w:tcW w:w="10765" w:type="dxa"/>
                            <w:shd w:val="clear" w:color="auto" w:fill="91B2C4"/>
                            <w:tcMar>
                              <w:top w:w="113" w:type="dxa"/>
                              <w:left w:w="170" w:type="dxa"/>
                              <w:bottom w:w="113" w:type="dxa"/>
                              <w:right w:w="170" w:type="dxa"/>
                            </w:tcMar>
                          </w:tcPr>
                          <w:p w14:paraId="28150AE5" w14:textId="77777777" w:rsidR="00731C72" w:rsidRPr="002D5B18" w:rsidRDefault="00731C72" w:rsidP="00617258">
                            <w:pPr>
                              <w:pStyle w:val="FooterHeading1"/>
                            </w:pPr>
                            <w:r w:rsidRPr="002D5B18">
                              <w:t>Speak to us for more information</w:t>
                            </w:r>
                          </w:p>
                          <w:p w14:paraId="4A4FC457" w14:textId="77777777" w:rsidR="00731C72" w:rsidRPr="002D5B18" w:rsidRDefault="00731C72" w:rsidP="00617258">
                            <w:pPr>
                              <w:pStyle w:val="Footertext"/>
                            </w:pPr>
                            <w:r w:rsidRPr="001417D2">
                              <w:t>Working out how much insurance you need is not easy. It’s important to assess your needs in consultation with your Commonwealth Financial Planner. They can tailor an appropriate selection of insurance policies to sui</w:t>
                            </w:r>
                            <w:r>
                              <w:t>t your individual circumstances</w:t>
                            </w:r>
                            <w:r w:rsidRPr="00617258">
                              <w:t>.</w:t>
                            </w:r>
                          </w:p>
                        </w:tc>
                      </w:tr>
                      <w:tr w:rsidR="00731C72" w14:paraId="472EBE28" w14:textId="77777777" w:rsidTr="00554450">
                        <w:tc>
                          <w:tcPr>
                            <w:tcW w:w="10765" w:type="dxa"/>
                          </w:tcPr>
                          <w:p w14:paraId="41EB74D7" w14:textId="77777777" w:rsidR="00731C72" w:rsidRDefault="00731C72" w:rsidP="00C54AD8">
                            <w:pPr>
                              <w:pStyle w:val="Disclaimer"/>
                              <w:rPr>
                                <w:b/>
                                <w:bCs/>
                              </w:rPr>
                            </w:pPr>
                          </w:p>
                          <w:p w14:paraId="00EE2551" w14:textId="77777777" w:rsidR="00731C72" w:rsidRPr="006C3AC2" w:rsidRDefault="00731C72" w:rsidP="00C54AD8">
                            <w:pPr>
                              <w:pStyle w:val="Disclaimer"/>
                              <w:rPr>
                                <w:b/>
                                <w:bCs/>
                              </w:rPr>
                            </w:pPr>
                            <w:r w:rsidRPr="006C3AC2">
                              <w:rPr>
                                <w:b/>
                                <w:bCs/>
                              </w:rPr>
                              <w:t>Important information</w:t>
                            </w:r>
                          </w:p>
                          <w:p w14:paraId="4B1A334C" w14:textId="77777777" w:rsidR="00731C72" w:rsidRPr="00DA761F" w:rsidRDefault="00731C72" w:rsidP="00C54AD8">
                            <w:pPr>
                              <w:pStyle w:val="Disclaimer"/>
                            </w:pPr>
                            <w:r w:rsidRPr="00176678">
                              <w:t xml:space="preserve">This document has been prepared by Count Financial Limited ABN 19 001 974 625, AFSL 227232, (Count) a wholly-owned, non-guaranteed subsidiary of Commonwealth Bank </w:t>
                            </w:r>
                            <w:r>
                              <w:br/>
                            </w:r>
                            <w:r w:rsidRPr="00176678">
                              <w:t>of Australia ABN 48 123 123 124. ‘Count’ and Count Wealth Accountants® are trading names of Count. Count advisers are authorised representatives of Count. Count is a Professional Partner of the Financial Planning Association of Australia Limited. Information in this document is based on current regulatory requirements and laws, which may be subject to change. While care has been taken in the preparation of this document, no liability is accepted by Count, its related entities, agents and employees for any loss arising from reliance on this document. This document is not advice and provides information only. It does not take account of your individual objectives, financial situation or needs. You should consider talking to a financial adviser before making a financial decision.</w:t>
                            </w:r>
                          </w:p>
                        </w:tc>
                      </w:tr>
                    </w:tbl>
                    <w:p w14:paraId="6741D7C6" w14:textId="77777777" w:rsidR="00731C72" w:rsidRDefault="00731C72" w:rsidP="00731C72"/>
                  </w:txbxContent>
                </v:textbox>
                <w10:wrap type="square" anchorx="page" anchory="page"/>
              </v:shape>
            </w:pict>
          </mc:Fallback>
        </mc:AlternateContent>
      </w:r>
    </w:p>
    <w:p w14:paraId="244C8266" w14:textId="77777777" w:rsidR="005724B9" w:rsidRDefault="005724B9" w:rsidP="00356B18"/>
    <w:p w14:paraId="263337F5" w14:textId="77777777" w:rsidR="006F7FA0" w:rsidRDefault="006F7FA0">
      <w:pPr>
        <w:spacing w:before="0" w:after="0" w:line="240" w:lineRule="auto"/>
        <w:rPr>
          <w:b/>
          <w:spacing w:val="-4"/>
          <w:sz w:val="28"/>
          <w:szCs w:val="28"/>
        </w:rPr>
      </w:pPr>
      <w:r>
        <w:br w:type="page"/>
      </w:r>
    </w:p>
    <w:p w14:paraId="15F66EA0" w14:textId="77777777" w:rsidR="009C334D" w:rsidRDefault="009C334D" w:rsidP="009C334D">
      <w:pPr>
        <w:pStyle w:val="Heading1"/>
      </w:pPr>
      <w:r>
        <w:lastRenderedPageBreak/>
        <w:t>Introduction</w:t>
      </w:r>
    </w:p>
    <w:p w14:paraId="29FEA194" w14:textId="77777777" w:rsidR="00DA0165" w:rsidRPr="00DA0165" w:rsidRDefault="00DA0165" w:rsidP="00DA0165">
      <w:pPr>
        <w:rPr>
          <w:rFonts w:cs="Arial"/>
          <w:color w:val="FF0000"/>
          <w:sz w:val="24"/>
        </w:rPr>
      </w:pPr>
      <w:r w:rsidRPr="00DA0165">
        <w:rPr>
          <w:rFonts w:cs="Arial"/>
          <w:color w:val="FF0000"/>
          <w:sz w:val="24"/>
        </w:rPr>
        <w:t>Modify or delete as you see fit…</w:t>
      </w:r>
    </w:p>
    <w:p w14:paraId="2889801C" w14:textId="3BFF0822" w:rsidR="009C334D" w:rsidRPr="001E0E9D" w:rsidRDefault="009C334D" w:rsidP="009C334D">
      <w:pPr>
        <w:rPr>
          <w:rFonts w:cs="Arial"/>
          <w:sz w:val="24"/>
        </w:rPr>
      </w:pPr>
      <w:r w:rsidRPr="001E0E9D">
        <w:rPr>
          <w:rFonts w:cs="Arial"/>
          <w:sz w:val="24"/>
        </w:rPr>
        <w:t>This document sets o</w:t>
      </w:r>
      <w:r w:rsidR="00DA0165">
        <w:rPr>
          <w:rFonts w:cs="Arial"/>
          <w:sz w:val="24"/>
        </w:rPr>
        <w:t xml:space="preserve">ut the insurance philosophy of </w:t>
      </w:r>
      <w:r w:rsidR="00176F91">
        <w:rPr>
          <w:rFonts w:cs="Arial"/>
          <w:sz w:val="24"/>
        </w:rPr>
        <w:t>&lt;insert company name&gt;</w:t>
      </w:r>
      <w:r w:rsidRPr="001E0E9D">
        <w:rPr>
          <w:rFonts w:cs="Arial"/>
          <w:sz w:val="24"/>
        </w:rPr>
        <w:t xml:space="preserve">. </w:t>
      </w:r>
    </w:p>
    <w:p w14:paraId="3E0487BE" w14:textId="77777777" w:rsidR="009C334D" w:rsidRPr="001E0E9D" w:rsidRDefault="009C334D" w:rsidP="009C334D">
      <w:pPr>
        <w:rPr>
          <w:rFonts w:cs="Arial"/>
          <w:sz w:val="24"/>
          <w:shd w:val="clear" w:color="auto" w:fill="FFFFFF"/>
        </w:rPr>
      </w:pPr>
      <w:r w:rsidRPr="001E0E9D">
        <w:rPr>
          <w:rFonts w:cs="Arial"/>
          <w:sz w:val="24"/>
          <w:shd w:val="clear" w:color="auto" w:fill="FFFFFF"/>
        </w:rPr>
        <w:t>An</w:t>
      </w:r>
      <w:r>
        <w:rPr>
          <w:rFonts w:cs="Arial"/>
          <w:sz w:val="24"/>
          <w:shd w:val="clear" w:color="auto" w:fill="FFFFFF"/>
        </w:rPr>
        <w:t xml:space="preserve"> </w:t>
      </w:r>
      <w:r w:rsidRPr="001E0E9D">
        <w:rPr>
          <w:rFonts w:cs="Arial"/>
          <w:bCs/>
          <w:sz w:val="24"/>
          <w:shd w:val="clear" w:color="auto" w:fill="FFFFFF"/>
        </w:rPr>
        <w:t>insurance philosophy</w:t>
      </w:r>
      <w:r w:rsidRPr="001E0E9D">
        <w:rPr>
          <w:rStyle w:val="apple-converted-space"/>
          <w:rFonts w:cs="Arial"/>
          <w:sz w:val="24"/>
          <w:shd w:val="clear" w:color="auto" w:fill="FFFFFF"/>
        </w:rPr>
        <w:t xml:space="preserve"> </w:t>
      </w:r>
      <w:r w:rsidRPr="001E0E9D">
        <w:rPr>
          <w:rFonts w:cs="Arial"/>
          <w:sz w:val="24"/>
          <w:shd w:val="clear" w:color="auto" w:fill="FFFFFF"/>
        </w:rPr>
        <w:t xml:space="preserve">is a coherent way of thinking about wealth protection and the principles </w:t>
      </w:r>
      <w:r>
        <w:rPr>
          <w:rFonts w:cs="Arial"/>
          <w:sz w:val="24"/>
          <w:shd w:val="clear" w:color="auto" w:fill="FFFFFF"/>
        </w:rPr>
        <w:t>we</w:t>
      </w:r>
      <w:r w:rsidRPr="001E0E9D">
        <w:rPr>
          <w:rFonts w:cs="Arial"/>
          <w:sz w:val="24"/>
          <w:shd w:val="clear" w:color="auto" w:fill="FFFFFF"/>
        </w:rPr>
        <w:t xml:space="preserve"> believe </w:t>
      </w:r>
      <w:r>
        <w:rPr>
          <w:rFonts w:cs="Arial"/>
          <w:sz w:val="24"/>
          <w:shd w:val="clear" w:color="auto" w:fill="FFFFFF"/>
        </w:rPr>
        <w:t xml:space="preserve">when </w:t>
      </w:r>
      <w:r w:rsidRPr="001E0E9D">
        <w:rPr>
          <w:rFonts w:cs="Arial"/>
          <w:sz w:val="24"/>
          <w:shd w:val="clear" w:color="auto" w:fill="FFFFFF"/>
        </w:rPr>
        <w:t>provid</w:t>
      </w:r>
      <w:r>
        <w:rPr>
          <w:rFonts w:cs="Arial"/>
          <w:sz w:val="24"/>
          <w:shd w:val="clear" w:color="auto" w:fill="FFFFFF"/>
        </w:rPr>
        <w:t>ing</w:t>
      </w:r>
      <w:r w:rsidRPr="001E0E9D">
        <w:rPr>
          <w:rFonts w:cs="Arial"/>
          <w:sz w:val="24"/>
          <w:shd w:val="clear" w:color="auto" w:fill="FFFFFF"/>
        </w:rPr>
        <w:t xml:space="preserve"> consistent </w:t>
      </w:r>
      <w:r>
        <w:rPr>
          <w:rFonts w:cs="Arial"/>
          <w:sz w:val="24"/>
          <w:shd w:val="clear" w:color="auto" w:fill="FFFFFF"/>
        </w:rPr>
        <w:t xml:space="preserve">wealth protection </w:t>
      </w:r>
      <w:r w:rsidRPr="001E0E9D">
        <w:rPr>
          <w:rFonts w:cs="Arial"/>
          <w:sz w:val="24"/>
          <w:shd w:val="clear" w:color="auto" w:fill="FFFFFF"/>
        </w:rPr>
        <w:t>advice</w:t>
      </w:r>
      <w:r>
        <w:rPr>
          <w:rFonts w:cs="Arial"/>
          <w:sz w:val="24"/>
          <w:shd w:val="clear" w:color="auto" w:fill="FFFFFF"/>
        </w:rPr>
        <w:t xml:space="preserve"> to clients</w:t>
      </w:r>
      <w:r w:rsidRPr="001E0E9D">
        <w:rPr>
          <w:rFonts w:cs="Arial"/>
          <w:sz w:val="24"/>
          <w:shd w:val="clear" w:color="auto" w:fill="FFFFFF"/>
        </w:rPr>
        <w:t xml:space="preserve">. It </w:t>
      </w:r>
      <w:r>
        <w:rPr>
          <w:rFonts w:cs="Arial"/>
          <w:sz w:val="24"/>
          <w:shd w:val="clear" w:color="auto" w:fill="FFFFFF"/>
        </w:rPr>
        <w:t>contains</w:t>
      </w:r>
      <w:r w:rsidRPr="001E0E9D">
        <w:rPr>
          <w:rFonts w:cs="Arial"/>
          <w:sz w:val="24"/>
          <w:shd w:val="clear" w:color="auto" w:fill="FFFFFF"/>
        </w:rPr>
        <w:t xml:space="preserve"> a set of guiding principles that form and shape an </w:t>
      </w:r>
      <w:r>
        <w:rPr>
          <w:rFonts w:cs="Arial"/>
          <w:sz w:val="24"/>
          <w:shd w:val="clear" w:color="auto" w:fill="FFFFFF"/>
        </w:rPr>
        <w:t>Adviser’s</w:t>
      </w:r>
      <w:r w:rsidRPr="001E0E9D">
        <w:rPr>
          <w:rFonts w:cs="Arial"/>
          <w:sz w:val="24"/>
          <w:shd w:val="clear" w:color="auto" w:fill="FFFFFF"/>
        </w:rPr>
        <w:t xml:space="preserve"> </w:t>
      </w:r>
      <w:r w:rsidRPr="001E0E9D">
        <w:rPr>
          <w:rStyle w:val="Emphasis"/>
          <w:rFonts w:cs="Arial"/>
          <w:bCs/>
          <w:sz w:val="24"/>
          <w:shd w:val="clear" w:color="auto" w:fill="FFFFFF"/>
        </w:rPr>
        <w:t xml:space="preserve">insurance </w:t>
      </w:r>
      <w:r w:rsidRPr="001E0E9D">
        <w:rPr>
          <w:rFonts w:cs="Arial"/>
          <w:sz w:val="24"/>
          <w:shd w:val="clear" w:color="auto" w:fill="FFFFFF"/>
        </w:rPr>
        <w:t>decision-making process.</w:t>
      </w:r>
    </w:p>
    <w:p w14:paraId="4ED84822" w14:textId="77777777" w:rsidR="009C334D" w:rsidRPr="001E0E9D" w:rsidRDefault="009C334D" w:rsidP="009C334D">
      <w:pPr>
        <w:rPr>
          <w:rFonts w:cs="Arial"/>
          <w:sz w:val="24"/>
          <w:shd w:val="clear" w:color="auto" w:fill="FFFFFF"/>
        </w:rPr>
      </w:pPr>
      <w:r>
        <w:rPr>
          <w:rFonts w:cs="Arial"/>
          <w:sz w:val="24"/>
          <w:shd w:val="clear" w:color="auto" w:fill="FFFFFF"/>
        </w:rPr>
        <w:t xml:space="preserve">The insurance philosophy </w:t>
      </w:r>
      <w:r w:rsidRPr="001E0E9D">
        <w:rPr>
          <w:rFonts w:cs="Arial"/>
          <w:sz w:val="24"/>
          <w:shd w:val="clear" w:color="auto" w:fill="FFFFFF"/>
        </w:rPr>
        <w:t xml:space="preserve">is </w:t>
      </w:r>
      <w:r>
        <w:rPr>
          <w:rFonts w:cs="Arial"/>
          <w:sz w:val="24"/>
          <w:shd w:val="clear" w:color="auto" w:fill="FFFFFF"/>
        </w:rPr>
        <w:t>a</w:t>
      </w:r>
      <w:r w:rsidRPr="001E0E9D">
        <w:rPr>
          <w:rFonts w:cs="Arial"/>
          <w:sz w:val="24"/>
          <w:shd w:val="clear" w:color="auto" w:fill="FFFFFF"/>
        </w:rPr>
        <w:t xml:space="preserve"> general approach that directs the decisions related to protecting wealth. It includes a set of core principles undertaken by an </w:t>
      </w:r>
      <w:r w:rsidRPr="001E0E9D">
        <w:rPr>
          <w:rFonts w:cs="Arial"/>
          <w:sz w:val="24"/>
        </w:rPr>
        <w:t xml:space="preserve">Adviser in recommending cover. </w:t>
      </w:r>
    </w:p>
    <w:p w14:paraId="5A541E76" w14:textId="77777777" w:rsidR="009C334D" w:rsidRPr="001E0E9D" w:rsidRDefault="009C334D" w:rsidP="009C334D">
      <w:pPr>
        <w:rPr>
          <w:rFonts w:cs="Arial"/>
          <w:sz w:val="24"/>
        </w:rPr>
      </w:pPr>
    </w:p>
    <w:p w14:paraId="68217419" w14:textId="77777777" w:rsidR="009C334D" w:rsidRPr="001E0E9D" w:rsidRDefault="009C334D" w:rsidP="009C334D">
      <w:pPr>
        <w:rPr>
          <w:rFonts w:cs="Arial"/>
          <w:sz w:val="24"/>
        </w:rPr>
      </w:pPr>
      <w:r w:rsidRPr="001E0E9D">
        <w:rPr>
          <w:rFonts w:cs="Arial"/>
          <w:sz w:val="24"/>
        </w:rPr>
        <w:t xml:space="preserve">Documenting an insurance philosophy </w:t>
      </w:r>
      <w:r>
        <w:rPr>
          <w:rFonts w:cs="Arial"/>
          <w:sz w:val="24"/>
        </w:rPr>
        <w:t xml:space="preserve">results in </w:t>
      </w:r>
      <w:r w:rsidRPr="001E0E9D">
        <w:rPr>
          <w:rFonts w:cs="Arial"/>
          <w:sz w:val="24"/>
        </w:rPr>
        <w:t xml:space="preserve">a structured, repeatable process, based on core beliefs, that ensures </w:t>
      </w:r>
      <w:r>
        <w:rPr>
          <w:rFonts w:cs="Arial"/>
          <w:sz w:val="24"/>
        </w:rPr>
        <w:t>our business</w:t>
      </w:r>
      <w:r w:rsidRPr="001E0E9D">
        <w:rPr>
          <w:rFonts w:cs="Arial"/>
          <w:sz w:val="24"/>
        </w:rPr>
        <w:t xml:space="preserve"> can deliver the same level of advice to clients. It provides a framework - not a prescriptive set of rules. </w:t>
      </w:r>
    </w:p>
    <w:p w14:paraId="666FDE1D" w14:textId="7326A3F3" w:rsidR="00DA0165" w:rsidRDefault="00DA0165" w:rsidP="009C334D">
      <w:pPr>
        <w:rPr>
          <w:rFonts w:cs="Arial"/>
          <w:sz w:val="24"/>
        </w:rPr>
      </w:pPr>
    </w:p>
    <w:p w14:paraId="6CA8E21D" w14:textId="0FE8F39F" w:rsidR="009564A7" w:rsidRPr="00176F91" w:rsidRDefault="00DA0165" w:rsidP="009C334D">
      <w:pPr>
        <w:rPr>
          <w:rFonts w:cs="Arial"/>
          <w:sz w:val="24"/>
        </w:rPr>
      </w:pPr>
      <w:r w:rsidRPr="00176F91">
        <w:rPr>
          <w:rFonts w:cs="Arial"/>
          <w:sz w:val="24"/>
        </w:rPr>
        <w:t xml:space="preserve">We </w:t>
      </w:r>
      <w:r w:rsidR="009564A7" w:rsidRPr="00176F91">
        <w:rPr>
          <w:rFonts w:cs="Arial"/>
          <w:sz w:val="24"/>
        </w:rPr>
        <w:t>b</w:t>
      </w:r>
      <w:r w:rsidRPr="00176F91">
        <w:rPr>
          <w:rFonts w:cs="Arial"/>
          <w:sz w:val="24"/>
        </w:rPr>
        <w:t>e</w:t>
      </w:r>
      <w:r w:rsidR="009564A7" w:rsidRPr="00176F91">
        <w:rPr>
          <w:rFonts w:cs="Arial"/>
          <w:sz w:val="24"/>
        </w:rPr>
        <w:t>li</w:t>
      </w:r>
      <w:r w:rsidRPr="00176F91">
        <w:rPr>
          <w:rFonts w:cs="Arial"/>
          <w:sz w:val="24"/>
        </w:rPr>
        <w:t>e</w:t>
      </w:r>
      <w:r w:rsidR="009564A7" w:rsidRPr="00176F91">
        <w:rPr>
          <w:rFonts w:cs="Arial"/>
          <w:sz w:val="24"/>
        </w:rPr>
        <w:t xml:space="preserve">ve </w:t>
      </w:r>
      <w:r w:rsidRPr="00176F91">
        <w:rPr>
          <w:rFonts w:cs="Arial"/>
          <w:sz w:val="24"/>
        </w:rPr>
        <w:t xml:space="preserve">our role </w:t>
      </w:r>
      <w:r w:rsidR="00BA2EC6" w:rsidRPr="00176F91">
        <w:rPr>
          <w:rFonts w:cs="Arial"/>
          <w:sz w:val="24"/>
        </w:rPr>
        <w:t xml:space="preserve">is </w:t>
      </w:r>
      <w:r w:rsidRPr="00176F91">
        <w:rPr>
          <w:rFonts w:cs="Arial"/>
          <w:sz w:val="24"/>
        </w:rPr>
        <w:t>to help clients identify their go</w:t>
      </w:r>
      <w:r w:rsidR="00BA2EC6" w:rsidRPr="00176F91">
        <w:rPr>
          <w:rFonts w:cs="Arial"/>
          <w:sz w:val="24"/>
        </w:rPr>
        <w:t>a</w:t>
      </w:r>
      <w:r w:rsidRPr="00176F91">
        <w:rPr>
          <w:rFonts w:cs="Arial"/>
          <w:sz w:val="24"/>
        </w:rPr>
        <w:t>ls and then the needs</w:t>
      </w:r>
      <w:r w:rsidR="00BA2EC6" w:rsidRPr="00176F91">
        <w:rPr>
          <w:rFonts w:cs="Arial"/>
          <w:sz w:val="24"/>
        </w:rPr>
        <w:t xml:space="preserve"> they have to achieve these goals.</w:t>
      </w:r>
      <w:r w:rsidRPr="00176F91">
        <w:rPr>
          <w:rFonts w:cs="Arial"/>
          <w:sz w:val="24"/>
        </w:rPr>
        <w:t xml:space="preserve"> </w:t>
      </w:r>
      <w:r w:rsidR="00BA2EC6" w:rsidRPr="00176F91">
        <w:rPr>
          <w:rFonts w:cs="Arial"/>
          <w:sz w:val="24"/>
        </w:rPr>
        <w:t xml:space="preserve">This includes identifying needs they are not even aware of. In some </w:t>
      </w:r>
      <w:r w:rsidR="00176F91" w:rsidRPr="00176F91">
        <w:rPr>
          <w:rFonts w:cs="Arial"/>
          <w:sz w:val="24"/>
        </w:rPr>
        <w:t>cases</w:t>
      </w:r>
      <w:r w:rsidR="00BA2EC6" w:rsidRPr="00176F91">
        <w:rPr>
          <w:rFonts w:cs="Arial"/>
          <w:sz w:val="24"/>
        </w:rPr>
        <w:t xml:space="preserve"> this may require us to persuade them to take action when they do not see the need as a priority.</w:t>
      </w:r>
    </w:p>
    <w:p w14:paraId="25F75BBD" w14:textId="76D6D1E8" w:rsidR="009564A7" w:rsidRPr="00176F91" w:rsidRDefault="00BA2EC6" w:rsidP="009C334D">
      <w:pPr>
        <w:rPr>
          <w:rFonts w:cs="Arial"/>
          <w:sz w:val="24"/>
        </w:rPr>
      </w:pPr>
      <w:r w:rsidRPr="00176F91">
        <w:rPr>
          <w:rFonts w:cs="Arial"/>
          <w:sz w:val="24"/>
        </w:rPr>
        <w:t>Insurance provide</w:t>
      </w:r>
      <w:r w:rsidR="00176F91" w:rsidRPr="00176F91">
        <w:rPr>
          <w:rFonts w:cs="Arial"/>
          <w:sz w:val="24"/>
        </w:rPr>
        <w:t>s</w:t>
      </w:r>
      <w:r w:rsidRPr="00176F91">
        <w:rPr>
          <w:rFonts w:cs="Arial"/>
          <w:sz w:val="24"/>
        </w:rPr>
        <w:t xml:space="preserve"> </w:t>
      </w:r>
      <w:r w:rsidR="009564A7" w:rsidRPr="00176F91">
        <w:rPr>
          <w:rFonts w:cs="Arial"/>
          <w:sz w:val="24"/>
        </w:rPr>
        <w:t xml:space="preserve">protection </w:t>
      </w:r>
      <w:r w:rsidRPr="00176F91">
        <w:rPr>
          <w:rFonts w:cs="Arial"/>
          <w:sz w:val="24"/>
        </w:rPr>
        <w:t>i</w:t>
      </w:r>
      <w:r w:rsidR="009564A7" w:rsidRPr="00176F91">
        <w:rPr>
          <w:rFonts w:cs="Arial"/>
          <w:sz w:val="24"/>
        </w:rPr>
        <w:t>n times</w:t>
      </w:r>
      <w:r w:rsidRPr="00176F91">
        <w:rPr>
          <w:rFonts w:cs="Arial"/>
          <w:sz w:val="24"/>
        </w:rPr>
        <w:t xml:space="preserve"> </w:t>
      </w:r>
      <w:r w:rsidR="009564A7" w:rsidRPr="00176F91">
        <w:rPr>
          <w:rFonts w:cs="Arial"/>
          <w:sz w:val="24"/>
        </w:rPr>
        <w:t>of adversity</w:t>
      </w:r>
      <w:r w:rsidRPr="00176F91">
        <w:rPr>
          <w:rFonts w:cs="Arial"/>
          <w:sz w:val="24"/>
        </w:rPr>
        <w:t>…</w:t>
      </w:r>
    </w:p>
    <w:p w14:paraId="1D87160A" w14:textId="2A3FA57F" w:rsidR="009564A7" w:rsidRPr="00176F91" w:rsidRDefault="009564A7" w:rsidP="009C334D">
      <w:pPr>
        <w:rPr>
          <w:rFonts w:cs="Arial"/>
          <w:sz w:val="24"/>
        </w:rPr>
      </w:pPr>
      <w:r w:rsidRPr="00176F91">
        <w:rPr>
          <w:rFonts w:cs="Arial"/>
          <w:sz w:val="24"/>
        </w:rPr>
        <w:t xml:space="preserve">To </w:t>
      </w:r>
      <w:r w:rsidR="00DA0165" w:rsidRPr="00176F91">
        <w:rPr>
          <w:rFonts w:cs="Arial"/>
          <w:sz w:val="24"/>
        </w:rPr>
        <w:t>help client</w:t>
      </w:r>
      <w:r w:rsidR="00176F91" w:rsidRPr="00176F91">
        <w:rPr>
          <w:rFonts w:cs="Arial"/>
          <w:sz w:val="24"/>
        </w:rPr>
        <w:t>s</w:t>
      </w:r>
      <w:r w:rsidR="00DA0165" w:rsidRPr="00176F91">
        <w:rPr>
          <w:rFonts w:cs="Arial"/>
          <w:sz w:val="24"/>
        </w:rPr>
        <w:t xml:space="preserve"> achi</w:t>
      </w:r>
      <w:r w:rsidR="00BA2EC6" w:rsidRPr="00176F91">
        <w:rPr>
          <w:rFonts w:cs="Arial"/>
          <w:sz w:val="24"/>
        </w:rPr>
        <w:t>e</w:t>
      </w:r>
      <w:r w:rsidR="00DA0165" w:rsidRPr="00176F91">
        <w:rPr>
          <w:rFonts w:cs="Arial"/>
          <w:sz w:val="24"/>
        </w:rPr>
        <w:t xml:space="preserve">ve their objectives and build wealth for retirement they </w:t>
      </w:r>
      <w:r w:rsidR="00BA2EC6" w:rsidRPr="00176F91">
        <w:rPr>
          <w:rFonts w:cs="Arial"/>
          <w:sz w:val="24"/>
        </w:rPr>
        <w:t>must first protect their wea</w:t>
      </w:r>
      <w:r w:rsidRPr="00176F91">
        <w:rPr>
          <w:rFonts w:cs="Arial"/>
          <w:sz w:val="24"/>
        </w:rPr>
        <w:t xml:space="preserve">lth &amp; </w:t>
      </w:r>
      <w:r w:rsidR="00BA2EC6" w:rsidRPr="00176F91">
        <w:rPr>
          <w:rFonts w:cs="Arial"/>
          <w:sz w:val="24"/>
        </w:rPr>
        <w:t xml:space="preserve">their </w:t>
      </w:r>
      <w:r w:rsidRPr="00176F91">
        <w:rPr>
          <w:rFonts w:cs="Arial"/>
          <w:sz w:val="24"/>
        </w:rPr>
        <w:t>families.</w:t>
      </w:r>
    </w:p>
    <w:p w14:paraId="62652FD5" w14:textId="77777777" w:rsidR="009564A7" w:rsidRPr="001E0E9D" w:rsidRDefault="009564A7" w:rsidP="009C334D">
      <w:pPr>
        <w:rPr>
          <w:rFonts w:cs="Arial"/>
          <w:sz w:val="24"/>
        </w:rPr>
      </w:pPr>
    </w:p>
    <w:p w14:paraId="5EE8F30A" w14:textId="77777777" w:rsidR="009C334D" w:rsidRPr="001E0E9D" w:rsidRDefault="009C334D" w:rsidP="009C334D">
      <w:pPr>
        <w:rPr>
          <w:rFonts w:cs="Arial"/>
          <w:sz w:val="24"/>
        </w:rPr>
      </w:pPr>
      <w:r>
        <w:rPr>
          <w:rFonts w:cs="Arial"/>
          <w:sz w:val="24"/>
          <w:shd w:val="clear" w:color="auto" w:fill="FFFFFF"/>
        </w:rPr>
        <w:t xml:space="preserve">In considering the cover required the following key factors are considered: </w:t>
      </w:r>
      <w:r w:rsidRPr="001E0E9D">
        <w:rPr>
          <w:rFonts w:cs="Arial"/>
          <w:sz w:val="24"/>
          <w:shd w:val="clear" w:color="auto" w:fill="FFFFFF"/>
        </w:rPr>
        <w:t>Ownership &amp; structure,</w:t>
      </w:r>
      <w:r>
        <w:rPr>
          <w:rFonts w:cs="Arial"/>
          <w:sz w:val="24"/>
          <w:shd w:val="clear" w:color="auto" w:fill="FFFFFF"/>
        </w:rPr>
        <w:t xml:space="preserve"> premium style, </w:t>
      </w:r>
      <w:r w:rsidRPr="001E0E9D">
        <w:rPr>
          <w:rFonts w:cs="Arial"/>
          <w:sz w:val="24"/>
          <w:shd w:val="clear" w:color="auto" w:fill="FFFFFF"/>
        </w:rPr>
        <w:t xml:space="preserve">definitions, product features and the </w:t>
      </w:r>
      <w:r>
        <w:rPr>
          <w:rFonts w:cs="Arial"/>
          <w:sz w:val="24"/>
          <w:shd w:val="clear" w:color="auto" w:fill="FFFFFF"/>
        </w:rPr>
        <w:t>methodology for calculating the sum insured</w:t>
      </w:r>
      <w:r w:rsidRPr="001E0E9D">
        <w:rPr>
          <w:rFonts w:cs="Arial"/>
          <w:sz w:val="24"/>
          <w:shd w:val="clear" w:color="auto" w:fill="FFFFFF"/>
        </w:rPr>
        <w:t>.</w:t>
      </w:r>
      <w:r>
        <w:rPr>
          <w:rFonts w:cs="Arial"/>
          <w:sz w:val="24"/>
          <w:shd w:val="clear" w:color="auto" w:fill="FFFFFF"/>
        </w:rPr>
        <w:t xml:space="preserve"> Additional c</w:t>
      </w:r>
      <w:r w:rsidRPr="001E0E9D">
        <w:rPr>
          <w:rFonts w:cs="Arial"/>
          <w:sz w:val="24"/>
          <w:shd w:val="clear" w:color="auto" w:fill="FFFFFF"/>
        </w:rPr>
        <w:t>onsider</w:t>
      </w:r>
      <w:r>
        <w:rPr>
          <w:rFonts w:cs="Arial"/>
          <w:sz w:val="24"/>
          <w:shd w:val="clear" w:color="auto" w:fill="FFFFFF"/>
        </w:rPr>
        <w:t xml:space="preserve">ation is also made to client </w:t>
      </w:r>
      <w:r w:rsidRPr="001E0E9D">
        <w:rPr>
          <w:rFonts w:cs="Arial"/>
          <w:sz w:val="24"/>
          <w:shd w:val="clear" w:color="auto" w:fill="FFFFFF"/>
        </w:rPr>
        <w:t>timeframes, beneficiaries, the interplay of different product features and the nature of occupation, habits and past-times.</w:t>
      </w:r>
    </w:p>
    <w:p w14:paraId="29C0BFB8" w14:textId="77777777" w:rsidR="009C334D" w:rsidRPr="004F32A5" w:rsidRDefault="009C334D" w:rsidP="009C334D">
      <w:pPr>
        <w:rPr>
          <w:rFonts w:cs="Arial"/>
          <w:sz w:val="24"/>
        </w:rPr>
      </w:pPr>
    </w:p>
    <w:p w14:paraId="6287BDB3" w14:textId="77777777" w:rsidR="009C334D" w:rsidRPr="001E0E9D" w:rsidRDefault="009C334D" w:rsidP="009C334D">
      <w:pPr>
        <w:rPr>
          <w:rFonts w:cs="Arial"/>
          <w:sz w:val="24"/>
        </w:rPr>
      </w:pPr>
      <w:r>
        <w:rPr>
          <w:rFonts w:cs="Arial"/>
          <w:sz w:val="24"/>
        </w:rPr>
        <w:t>The b</w:t>
      </w:r>
      <w:r w:rsidRPr="001E0E9D">
        <w:rPr>
          <w:rFonts w:cs="Arial"/>
          <w:sz w:val="24"/>
        </w:rPr>
        <w:t xml:space="preserve">enefits of developing and documenting </w:t>
      </w:r>
      <w:r>
        <w:rPr>
          <w:rFonts w:cs="Arial"/>
          <w:sz w:val="24"/>
        </w:rPr>
        <w:t>this</w:t>
      </w:r>
      <w:r w:rsidRPr="001E0E9D">
        <w:rPr>
          <w:rFonts w:cs="Arial"/>
          <w:sz w:val="24"/>
        </w:rPr>
        <w:t xml:space="preserve"> Insurance </w:t>
      </w:r>
      <w:r>
        <w:rPr>
          <w:rFonts w:cs="Arial"/>
          <w:sz w:val="24"/>
        </w:rPr>
        <w:t>P</w:t>
      </w:r>
      <w:r w:rsidRPr="001E0E9D">
        <w:rPr>
          <w:rFonts w:cs="Arial"/>
          <w:sz w:val="24"/>
        </w:rPr>
        <w:t>hilosophy</w:t>
      </w:r>
      <w:r>
        <w:rPr>
          <w:rFonts w:cs="Arial"/>
          <w:sz w:val="24"/>
        </w:rPr>
        <w:t xml:space="preserve"> include</w:t>
      </w:r>
      <w:r w:rsidRPr="001E0E9D">
        <w:rPr>
          <w:rFonts w:cs="Arial"/>
          <w:sz w:val="24"/>
        </w:rPr>
        <w:t>:</w:t>
      </w:r>
    </w:p>
    <w:p w14:paraId="0C855D4A" w14:textId="77777777" w:rsidR="009C334D" w:rsidRDefault="009C334D" w:rsidP="009C334D">
      <w:pPr>
        <w:pStyle w:val="ListParagraph"/>
        <w:numPr>
          <w:ilvl w:val="0"/>
          <w:numId w:val="4"/>
        </w:numPr>
        <w:spacing w:before="0" w:after="0" w:line="276" w:lineRule="auto"/>
        <w:rPr>
          <w:rFonts w:cs="Arial"/>
          <w:sz w:val="24"/>
        </w:rPr>
      </w:pPr>
      <w:r>
        <w:rPr>
          <w:rFonts w:cs="Arial"/>
          <w:sz w:val="24"/>
        </w:rPr>
        <w:t>helping Advisers better articulate their Client Value Proposition (CVP) to clients;</w:t>
      </w:r>
    </w:p>
    <w:p w14:paraId="73588A84" w14:textId="77777777" w:rsidR="009C334D" w:rsidRPr="00CA74A1" w:rsidRDefault="009C334D" w:rsidP="009C334D">
      <w:pPr>
        <w:pStyle w:val="ListParagraph"/>
        <w:numPr>
          <w:ilvl w:val="0"/>
          <w:numId w:val="4"/>
        </w:numPr>
        <w:spacing w:before="0" w:after="0" w:line="240" w:lineRule="auto"/>
        <w:rPr>
          <w:rFonts w:cs="Arial"/>
          <w:sz w:val="24"/>
        </w:rPr>
      </w:pPr>
      <w:r>
        <w:rPr>
          <w:rFonts w:eastAsiaTheme="minorEastAsia" w:cs="Arial"/>
          <w:kern w:val="24"/>
          <w:sz w:val="24"/>
        </w:rPr>
        <w:t xml:space="preserve">helping Advisers </w:t>
      </w:r>
      <w:r w:rsidRPr="00CA74A1">
        <w:rPr>
          <w:rFonts w:eastAsiaTheme="minorEastAsia" w:cs="Arial"/>
          <w:kern w:val="24"/>
          <w:sz w:val="24"/>
        </w:rPr>
        <w:t xml:space="preserve">better articulate the </w:t>
      </w:r>
      <w:r>
        <w:rPr>
          <w:rFonts w:eastAsiaTheme="minorEastAsia" w:cs="Arial"/>
          <w:kern w:val="24"/>
          <w:sz w:val="24"/>
        </w:rPr>
        <w:t>C</w:t>
      </w:r>
      <w:r w:rsidRPr="00CA74A1">
        <w:rPr>
          <w:rFonts w:eastAsiaTheme="minorEastAsia" w:cs="Arial"/>
          <w:kern w:val="24"/>
          <w:sz w:val="24"/>
        </w:rPr>
        <w:t>VP to referral partners</w:t>
      </w:r>
      <w:r>
        <w:rPr>
          <w:rFonts w:eastAsiaTheme="minorEastAsia" w:cs="Arial"/>
          <w:kern w:val="24"/>
          <w:sz w:val="24"/>
        </w:rPr>
        <w:t>;</w:t>
      </w:r>
    </w:p>
    <w:p w14:paraId="26C6D15B" w14:textId="77777777" w:rsidR="009C334D" w:rsidRPr="001E0E9D" w:rsidRDefault="009C334D" w:rsidP="009C334D">
      <w:pPr>
        <w:pStyle w:val="ListParagraph"/>
        <w:numPr>
          <w:ilvl w:val="0"/>
          <w:numId w:val="4"/>
        </w:numPr>
        <w:spacing w:before="0" w:after="0" w:line="276" w:lineRule="auto"/>
        <w:rPr>
          <w:rFonts w:cs="Arial"/>
          <w:sz w:val="24"/>
        </w:rPr>
      </w:pPr>
      <w:r>
        <w:rPr>
          <w:rFonts w:cs="Arial"/>
          <w:sz w:val="24"/>
        </w:rPr>
        <w:t>better client engagement;</w:t>
      </w:r>
    </w:p>
    <w:p w14:paraId="345A5D03" w14:textId="77777777" w:rsidR="009C334D" w:rsidRPr="001E0E9D" w:rsidRDefault="009C334D" w:rsidP="009C334D">
      <w:pPr>
        <w:pStyle w:val="ListParagraph"/>
        <w:numPr>
          <w:ilvl w:val="0"/>
          <w:numId w:val="4"/>
        </w:numPr>
        <w:spacing w:before="0" w:after="0" w:line="240" w:lineRule="auto"/>
        <w:rPr>
          <w:rFonts w:cs="Arial"/>
          <w:sz w:val="24"/>
        </w:rPr>
      </w:pPr>
      <w:r>
        <w:rPr>
          <w:rFonts w:eastAsiaTheme="minorEastAsia" w:cs="Arial"/>
          <w:kern w:val="24"/>
          <w:sz w:val="24"/>
        </w:rPr>
        <w:t>providing consistency of advice within the business;</w:t>
      </w:r>
    </w:p>
    <w:p w14:paraId="09AF0479" w14:textId="77777777" w:rsidR="009C334D" w:rsidRPr="001E0E9D" w:rsidRDefault="009C334D" w:rsidP="009C334D">
      <w:pPr>
        <w:pStyle w:val="ListParagraph"/>
        <w:numPr>
          <w:ilvl w:val="0"/>
          <w:numId w:val="4"/>
        </w:numPr>
        <w:spacing w:before="0" w:after="0" w:line="240" w:lineRule="auto"/>
        <w:rPr>
          <w:rFonts w:cs="Arial"/>
          <w:sz w:val="24"/>
        </w:rPr>
      </w:pPr>
      <w:r>
        <w:rPr>
          <w:rFonts w:eastAsiaTheme="minorEastAsia" w:cs="Arial"/>
          <w:kern w:val="24"/>
          <w:sz w:val="24"/>
        </w:rPr>
        <w:t xml:space="preserve">being used as a </w:t>
      </w:r>
      <w:r w:rsidRPr="001E0E9D">
        <w:rPr>
          <w:rFonts w:eastAsiaTheme="minorEastAsia" w:cs="Arial"/>
          <w:kern w:val="24"/>
          <w:sz w:val="24"/>
        </w:rPr>
        <w:t xml:space="preserve">training and induction of </w:t>
      </w:r>
      <w:r>
        <w:rPr>
          <w:rFonts w:eastAsiaTheme="minorEastAsia" w:cs="Arial"/>
          <w:kern w:val="24"/>
          <w:sz w:val="24"/>
        </w:rPr>
        <w:t xml:space="preserve">new </w:t>
      </w:r>
      <w:r w:rsidRPr="001E0E9D">
        <w:rPr>
          <w:rFonts w:eastAsiaTheme="minorEastAsia" w:cs="Arial"/>
          <w:kern w:val="24"/>
          <w:sz w:val="24"/>
        </w:rPr>
        <w:t>Advisers</w:t>
      </w:r>
      <w:r>
        <w:rPr>
          <w:rFonts w:eastAsiaTheme="minorEastAsia" w:cs="Arial"/>
          <w:kern w:val="24"/>
          <w:sz w:val="24"/>
        </w:rPr>
        <w:t>, paraplanners</w:t>
      </w:r>
      <w:r w:rsidRPr="001E0E9D">
        <w:rPr>
          <w:rFonts w:eastAsiaTheme="minorEastAsia" w:cs="Arial"/>
          <w:kern w:val="24"/>
          <w:sz w:val="24"/>
        </w:rPr>
        <w:t xml:space="preserve"> &amp; support new staff</w:t>
      </w:r>
      <w:r>
        <w:rPr>
          <w:rFonts w:eastAsiaTheme="minorEastAsia" w:cs="Arial"/>
          <w:kern w:val="24"/>
          <w:sz w:val="24"/>
        </w:rPr>
        <w:t>;</w:t>
      </w:r>
    </w:p>
    <w:p w14:paraId="1A4B5B45" w14:textId="77777777" w:rsidR="009C334D" w:rsidRPr="00F648A1" w:rsidRDefault="009C334D" w:rsidP="009C334D">
      <w:pPr>
        <w:pStyle w:val="ListParagraph"/>
        <w:numPr>
          <w:ilvl w:val="0"/>
          <w:numId w:val="4"/>
        </w:numPr>
        <w:spacing w:before="0" w:after="0" w:line="240" w:lineRule="auto"/>
        <w:rPr>
          <w:rFonts w:eastAsia="Cambria" w:cs="Arial"/>
          <w:sz w:val="24"/>
        </w:rPr>
      </w:pPr>
      <w:r>
        <w:rPr>
          <w:rFonts w:eastAsiaTheme="minorEastAsia" w:cs="Arial"/>
          <w:kern w:val="24"/>
          <w:sz w:val="24"/>
        </w:rPr>
        <w:t>helping m</w:t>
      </w:r>
      <w:r w:rsidRPr="001E0E9D">
        <w:rPr>
          <w:rFonts w:eastAsiaTheme="minorEastAsia" w:cs="Arial"/>
          <w:kern w:val="24"/>
          <w:sz w:val="24"/>
        </w:rPr>
        <w:t xml:space="preserve">itigate compliance risk in </w:t>
      </w:r>
      <w:r>
        <w:rPr>
          <w:rFonts w:eastAsiaTheme="minorEastAsia" w:cs="Arial"/>
          <w:kern w:val="24"/>
          <w:sz w:val="24"/>
        </w:rPr>
        <w:t>the</w:t>
      </w:r>
      <w:r w:rsidRPr="001E0E9D">
        <w:rPr>
          <w:rFonts w:eastAsiaTheme="minorEastAsia" w:cs="Arial"/>
          <w:kern w:val="24"/>
          <w:sz w:val="24"/>
        </w:rPr>
        <w:t xml:space="preserve"> business</w:t>
      </w:r>
      <w:r>
        <w:rPr>
          <w:rFonts w:eastAsiaTheme="minorEastAsia" w:cs="Arial"/>
          <w:kern w:val="24"/>
          <w:sz w:val="24"/>
        </w:rPr>
        <w:t>.</w:t>
      </w:r>
    </w:p>
    <w:p w14:paraId="57F91A37" w14:textId="77777777" w:rsidR="009C334D" w:rsidRDefault="009C334D" w:rsidP="009C334D">
      <w:pPr>
        <w:pStyle w:val="ListParagraph"/>
        <w:spacing w:before="0" w:after="0" w:line="240" w:lineRule="auto"/>
        <w:ind w:left="1080"/>
        <w:rPr>
          <w:rFonts w:cs="Arial"/>
          <w:sz w:val="24"/>
        </w:rPr>
      </w:pPr>
    </w:p>
    <w:p w14:paraId="0A6F9A02" w14:textId="77777777" w:rsidR="009C334D" w:rsidRDefault="009C334D" w:rsidP="009C334D">
      <w:pPr>
        <w:pStyle w:val="ListParagraph"/>
        <w:spacing w:before="0" w:after="0" w:line="240" w:lineRule="auto"/>
        <w:ind w:left="1080"/>
        <w:rPr>
          <w:rFonts w:cs="Arial"/>
          <w:sz w:val="24"/>
        </w:rPr>
      </w:pPr>
    </w:p>
    <w:p w14:paraId="7673F306" w14:textId="77777777" w:rsidR="00154B7D" w:rsidRDefault="00154B7D" w:rsidP="009C334D">
      <w:pPr>
        <w:pStyle w:val="ListParagraph"/>
        <w:spacing w:before="0" w:after="0" w:line="240" w:lineRule="auto"/>
        <w:ind w:left="1080"/>
        <w:rPr>
          <w:rFonts w:cs="Arial"/>
          <w:sz w:val="24"/>
        </w:rPr>
      </w:pPr>
    </w:p>
    <w:p w14:paraId="593F2524" w14:textId="77777777" w:rsidR="009C334D" w:rsidRPr="009C334D" w:rsidRDefault="009C334D" w:rsidP="009C334D">
      <w:pPr>
        <w:rPr>
          <w:rFonts w:cs="Arial"/>
          <w:i/>
          <w:sz w:val="20"/>
          <w:szCs w:val="20"/>
        </w:rPr>
      </w:pPr>
      <w:r w:rsidRPr="009C334D">
        <w:rPr>
          <w:rFonts w:cs="Arial"/>
          <w:i/>
          <w:sz w:val="20"/>
          <w:szCs w:val="20"/>
        </w:rPr>
        <w:lastRenderedPageBreak/>
        <w:t xml:space="preserve">This is an internal document and should </w:t>
      </w:r>
      <w:r w:rsidRPr="009C334D">
        <w:rPr>
          <w:rFonts w:cs="Arial"/>
          <w:i/>
          <w:sz w:val="20"/>
          <w:szCs w:val="20"/>
          <w:u w:val="single"/>
        </w:rPr>
        <w:t>not</w:t>
      </w:r>
      <w:r w:rsidRPr="009C334D">
        <w:rPr>
          <w:rFonts w:cs="Arial"/>
          <w:i/>
          <w:sz w:val="20"/>
          <w:szCs w:val="20"/>
        </w:rPr>
        <w:t xml:space="preserve"> be used with clients.</w:t>
      </w:r>
    </w:p>
    <w:p w14:paraId="6680A892" w14:textId="77777777" w:rsidR="009C334D" w:rsidRPr="009C334D" w:rsidRDefault="009C334D" w:rsidP="009C334D">
      <w:pPr>
        <w:rPr>
          <w:rFonts w:cs="Arial"/>
          <w:i/>
          <w:sz w:val="20"/>
          <w:szCs w:val="20"/>
        </w:rPr>
      </w:pPr>
      <w:r w:rsidRPr="009C334D">
        <w:rPr>
          <w:rFonts w:cs="Arial"/>
          <w:i/>
          <w:sz w:val="20"/>
          <w:szCs w:val="20"/>
        </w:rPr>
        <w:t>It can be shared with referral partners eg internal accountants or external mortgage brokers.</w:t>
      </w:r>
    </w:p>
    <w:p w14:paraId="70CFE8B7" w14:textId="77777777" w:rsidR="009C334D" w:rsidRDefault="009C334D">
      <w:pPr>
        <w:spacing w:before="0" w:after="0" w:line="240" w:lineRule="auto"/>
        <w:rPr>
          <w:rFonts w:cs="Arial"/>
          <w:i/>
          <w:sz w:val="24"/>
        </w:rPr>
      </w:pPr>
      <w:r>
        <w:rPr>
          <w:rFonts w:cs="Arial"/>
          <w:i/>
          <w:sz w:val="24"/>
        </w:rPr>
        <w:br w:type="page"/>
      </w:r>
    </w:p>
    <w:p w14:paraId="731FA219" w14:textId="77777777" w:rsidR="009C334D" w:rsidRPr="005551D3" w:rsidRDefault="009C334D" w:rsidP="009C334D">
      <w:pPr>
        <w:pStyle w:val="Heading1"/>
      </w:pPr>
      <w:r>
        <w:lastRenderedPageBreak/>
        <w:t>LIFE COVER</w:t>
      </w:r>
    </w:p>
    <w:p w14:paraId="1F9A8F65" w14:textId="77777777" w:rsidR="009C334D" w:rsidRDefault="009C334D" w:rsidP="00356B18"/>
    <w:tbl>
      <w:tblPr>
        <w:tblStyle w:val="TableGrid"/>
        <w:tblW w:w="14742" w:type="dxa"/>
        <w:tblInd w:w="279" w:type="dxa"/>
        <w:tblLook w:val="04A0" w:firstRow="1" w:lastRow="0" w:firstColumn="1" w:lastColumn="0" w:noHBand="0" w:noVBand="1"/>
      </w:tblPr>
      <w:tblGrid>
        <w:gridCol w:w="3827"/>
        <w:gridCol w:w="10915"/>
      </w:tblGrid>
      <w:tr w:rsidR="009C334D" w14:paraId="708FD802" w14:textId="77777777" w:rsidTr="00C6738C">
        <w:tc>
          <w:tcPr>
            <w:tcW w:w="3827" w:type="dxa"/>
          </w:tcPr>
          <w:p w14:paraId="077BE857" w14:textId="77777777" w:rsidR="009C334D" w:rsidRPr="003B5585" w:rsidRDefault="009C334D" w:rsidP="006012EB">
            <w:pPr>
              <w:pStyle w:val="Heading2"/>
            </w:pPr>
            <w:r w:rsidRPr="003B5585">
              <w:t>Ownership &amp; structure</w:t>
            </w:r>
          </w:p>
          <w:p w14:paraId="378D127F" w14:textId="77777777" w:rsidR="009C334D" w:rsidRPr="003B5585" w:rsidRDefault="009C334D" w:rsidP="006012EB">
            <w:pPr>
              <w:pStyle w:val="Heading2"/>
            </w:pPr>
          </w:p>
        </w:tc>
        <w:tc>
          <w:tcPr>
            <w:tcW w:w="10915" w:type="dxa"/>
          </w:tcPr>
          <w:p w14:paraId="3A0B5127" w14:textId="77777777" w:rsidR="009C334D" w:rsidRPr="00C473D9" w:rsidRDefault="009564A7" w:rsidP="006012EB">
            <w:pPr>
              <w:rPr>
                <w:sz w:val="20"/>
                <w:szCs w:val="20"/>
              </w:rPr>
            </w:pPr>
            <w:r w:rsidRPr="00C473D9">
              <w:rPr>
                <w:sz w:val="20"/>
                <w:szCs w:val="20"/>
              </w:rPr>
              <w:t xml:space="preserve">Generally </w:t>
            </w:r>
            <w:r w:rsidR="00A56CBF" w:rsidRPr="00C473D9">
              <w:rPr>
                <w:sz w:val="20"/>
                <w:szCs w:val="20"/>
              </w:rPr>
              <w:t>we will recommend life cover be held inside superannuation for the following reasons:</w:t>
            </w:r>
          </w:p>
          <w:p w14:paraId="5F3515CA" w14:textId="3E4C9704" w:rsidR="009564A7" w:rsidRPr="00C473D9" w:rsidRDefault="009564A7" w:rsidP="009564A7">
            <w:pPr>
              <w:pStyle w:val="ListParagraph"/>
              <w:numPr>
                <w:ilvl w:val="0"/>
                <w:numId w:val="6"/>
              </w:numPr>
              <w:rPr>
                <w:sz w:val="20"/>
                <w:szCs w:val="20"/>
              </w:rPr>
            </w:pPr>
            <w:r w:rsidRPr="00C473D9">
              <w:rPr>
                <w:sz w:val="20"/>
                <w:szCs w:val="20"/>
              </w:rPr>
              <w:t>More tax effective because it can be funded via pre</w:t>
            </w:r>
            <w:r w:rsidR="00A56CBF" w:rsidRPr="00C473D9">
              <w:rPr>
                <w:sz w:val="20"/>
                <w:szCs w:val="20"/>
              </w:rPr>
              <w:t>-tax contributi</w:t>
            </w:r>
            <w:r w:rsidRPr="00C473D9">
              <w:rPr>
                <w:sz w:val="20"/>
                <w:szCs w:val="20"/>
              </w:rPr>
              <w:t>ons</w:t>
            </w:r>
            <w:r w:rsidR="00A56CBF" w:rsidRPr="00C473D9">
              <w:rPr>
                <w:sz w:val="20"/>
                <w:szCs w:val="20"/>
              </w:rPr>
              <w:t xml:space="preserve"> (concessional)</w:t>
            </w:r>
            <w:r w:rsidR="007F5F00">
              <w:rPr>
                <w:sz w:val="20"/>
                <w:szCs w:val="20"/>
              </w:rPr>
              <w:t xml:space="preserve"> or other types of contributions such as spouse </w:t>
            </w:r>
            <w:r w:rsidR="00176F91">
              <w:rPr>
                <w:sz w:val="20"/>
                <w:szCs w:val="20"/>
              </w:rPr>
              <w:t>contributions</w:t>
            </w:r>
            <w:r w:rsidR="007F5F00">
              <w:rPr>
                <w:sz w:val="20"/>
                <w:szCs w:val="20"/>
              </w:rPr>
              <w:t>.</w:t>
            </w:r>
          </w:p>
          <w:p w14:paraId="1291D14F" w14:textId="77777777" w:rsidR="002961C8" w:rsidRPr="00C473D9" w:rsidRDefault="00A56CBF" w:rsidP="009564A7">
            <w:pPr>
              <w:pStyle w:val="ListParagraph"/>
              <w:numPr>
                <w:ilvl w:val="0"/>
                <w:numId w:val="6"/>
              </w:numPr>
              <w:rPr>
                <w:sz w:val="20"/>
                <w:szCs w:val="20"/>
              </w:rPr>
            </w:pPr>
            <w:r w:rsidRPr="00C473D9">
              <w:rPr>
                <w:sz w:val="20"/>
                <w:szCs w:val="20"/>
              </w:rPr>
              <w:t>Premiums are t</w:t>
            </w:r>
            <w:r w:rsidR="002961C8" w:rsidRPr="00C473D9">
              <w:rPr>
                <w:sz w:val="20"/>
                <w:szCs w:val="20"/>
              </w:rPr>
              <w:t>ax de</w:t>
            </w:r>
            <w:r w:rsidRPr="00C473D9">
              <w:rPr>
                <w:sz w:val="20"/>
                <w:szCs w:val="20"/>
              </w:rPr>
              <w:t>du</w:t>
            </w:r>
            <w:r w:rsidR="002961C8" w:rsidRPr="00C473D9">
              <w:rPr>
                <w:sz w:val="20"/>
                <w:szCs w:val="20"/>
              </w:rPr>
              <w:t>ctible</w:t>
            </w:r>
            <w:r w:rsidRPr="00C473D9">
              <w:rPr>
                <w:sz w:val="20"/>
                <w:szCs w:val="20"/>
              </w:rPr>
              <w:t xml:space="preserve"> </w:t>
            </w:r>
            <w:r w:rsidR="002961C8" w:rsidRPr="00C473D9">
              <w:rPr>
                <w:sz w:val="20"/>
                <w:szCs w:val="20"/>
              </w:rPr>
              <w:t xml:space="preserve">to </w:t>
            </w:r>
            <w:r w:rsidRPr="00C473D9">
              <w:rPr>
                <w:sz w:val="20"/>
                <w:szCs w:val="20"/>
              </w:rPr>
              <w:t xml:space="preserve">the </w:t>
            </w:r>
            <w:r w:rsidR="002961C8" w:rsidRPr="00C473D9">
              <w:rPr>
                <w:sz w:val="20"/>
                <w:szCs w:val="20"/>
              </w:rPr>
              <w:t>super</w:t>
            </w:r>
            <w:r w:rsidRPr="00C473D9">
              <w:rPr>
                <w:sz w:val="20"/>
                <w:szCs w:val="20"/>
              </w:rPr>
              <w:t xml:space="preserve"> f</w:t>
            </w:r>
            <w:r w:rsidR="002961C8" w:rsidRPr="00C473D9">
              <w:rPr>
                <w:sz w:val="20"/>
                <w:szCs w:val="20"/>
              </w:rPr>
              <w:t>und</w:t>
            </w:r>
          </w:p>
          <w:p w14:paraId="7F177EE4" w14:textId="77777777" w:rsidR="009564A7" w:rsidRPr="00C473D9" w:rsidRDefault="009564A7" w:rsidP="009564A7">
            <w:pPr>
              <w:pStyle w:val="ListParagraph"/>
              <w:numPr>
                <w:ilvl w:val="0"/>
                <w:numId w:val="6"/>
              </w:numPr>
              <w:rPr>
                <w:sz w:val="20"/>
                <w:szCs w:val="20"/>
              </w:rPr>
            </w:pPr>
            <w:r w:rsidRPr="00C473D9">
              <w:rPr>
                <w:sz w:val="20"/>
                <w:szCs w:val="20"/>
              </w:rPr>
              <w:t xml:space="preserve">Estate planning advantages such as binding nominations </w:t>
            </w:r>
            <w:r w:rsidR="00A56CBF" w:rsidRPr="00C473D9">
              <w:rPr>
                <w:sz w:val="20"/>
                <w:szCs w:val="20"/>
              </w:rPr>
              <w:t>which can also be use</w:t>
            </w:r>
            <w:r w:rsidR="00C473D9" w:rsidRPr="00C473D9">
              <w:rPr>
                <w:sz w:val="20"/>
                <w:szCs w:val="20"/>
              </w:rPr>
              <w:t>d</w:t>
            </w:r>
            <w:r w:rsidR="00A56CBF" w:rsidRPr="00C473D9">
              <w:rPr>
                <w:sz w:val="20"/>
                <w:szCs w:val="20"/>
              </w:rPr>
              <w:t xml:space="preserve"> to </w:t>
            </w:r>
            <w:r w:rsidR="00C473D9" w:rsidRPr="00C473D9">
              <w:rPr>
                <w:sz w:val="20"/>
                <w:szCs w:val="20"/>
              </w:rPr>
              <w:t>keep the funds as a non-</w:t>
            </w:r>
            <w:r w:rsidRPr="00C473D9">
              <w:rPr>
                <w:sz w:val="20"/>
                <w:szCs w:val="20"/>
              </w:rPr>
              <w:t>estate asset</w:t>
            </w:r>
          </w:p>
          <w:p w14:paraId="436BDDB3" w14:textId="77777777" w:rsidR="009564A7" w:rsidRPr="00C473D9" w:rsidRDefault="00C473D9" w:rsidP="009564A7">
            <w:pPr>
              <w:pStyle w:val="ListParagraph"/>
              <w:numPr>
                <w:ilvl w:val="0"/>
                <w:numId w:val="6"/>
              </w:numPr>
              <w:rPr>
                <w:sz w:val="20"/>
                <w:szCs w:val="20"/>
              </w:rPr>
            </w:pPr>
            <w:r w:rsidRPr="00C473D9">
              <w:rPr>
                <w:sz w:val="20"/>
                <w:szCs w:val="20"/>
              </w:rPr>
              <w:t xml:space="preserve">The ability to keep the funds in the superannuation environment and </w:t>
            </w:r>
            <w:r w:rsidR="002961C8" w:rsidRPr="00C473D9">
              <w:rPr>
                <w:sz w:val="20"/>
                <w:szCs w:val="20"/>
              </w:rPr>
              <w:t xml:space="preserve">to enable </w:t>
            </w:r>
            <w:r w:rsidRPr="00C473D9">
              <w:rPr>
                <w:sz w:val="20"/>
                <w:szCs w:val="20"/>
              </w:rPr>
              <w:t>s</w:t>
            </w:r>
            <w:r w:rsidR="002961C8" w:rsidRPr="00C473D9">
              <w:rPr>
                <w:sz w:val="20"/>
                <w:szCs w:val="20"/>
              </w:rPr>
              <w:t>po</w:t>
            </w:r>
            <w:r w:rsidRPr="00C473D9">
              <w:rPr>
                <w:sz w:val="20"/>
                <w:szCs w:val="20"/>
              </w:rPr>
              <w:t>u</w:t>
            </w:r>
            <w:r w:rsidR="002961C8" w:rsidRPr="00C473D9">
              <w:rPr>
                <w:sz w:val="20"/>
                <w:szCs w:val="20"/>
              </w:rPr>
              <w:t>se &amp; dependant</w:t>
            </w:r>
            <w:r w:rsidRPr="00C473D9">
              <w:rPr>
                <w:sz w:val="20"/>
                <w:szCs w:val="20"/>
              </w:rPr>
              <w:t>s to rec</w:t>
            </w:r>
            <w:r w:rsidR="002961C8" w:rsidRPr="00C473D9">
              <w:rPr>
                <w:sz w:val="20"/>
                <w:szCs w:val="20"/>
              </w:rPr>
              <w:t>e</w:t>
            </w:r>
            <w:r w:rsidRPr="00C473D9">
              <w:rPr>
                <w:sz w:val="20"/>
                <w:szCs w:val="20"/>
              </w:rPr>
              <w:t>i</w:t>
            </w:r>
            <w:r w:rsidR="002961C8" w:rsidRPr="00C473D9">
              <w:rPr>
                <w:sz w:val="20"/>
                <w:szCs w:val="20"/>
              </w:rPr>
              <w:t>v</w:t>
            </w:r>
            <w:r w:rsidRPr="00C473D9">
              <w:rPr>
                <w:sz w:val="20"/>
                <w:szCs w:val="20"/>
              </w:rPr>
              <w:t>e tax efficient incom</w:t>
            </w:r>
            <w:r w:rsidR="002961C8" w:rsidRPr="00C473D9">
              <w:rPr>
                <w:sz w:val="20"/>
                <w:szCs w:val="20"/>
              </w:rPr>
              <w:t>e</w:t>
            </w:r>
            <w:r w:rsidR="00A56CBF" w:rsidRPr="00C473D9">
              <w:rPr>
                <w:sz w:val="20"/>
                <w:szCs w:val="20"/>
              </w:rPr>
              <w:t xml:space="preserve"> </w:t>
            </w:r>
            <w:r w:rsidR="002961C8" w:rsidRPr="00C473D9">
              <w:rPr>
                <w:sz w:val="20"/>
                <w:szCs w:val="20"/>
              </w:rPr>
              <w:t>streams.</w:t>
            </w:r>
          </w:p>
          <w:p w14:paraId="1C24F306" w14:textId="77777777" w:rsidR="002961C8" w:rsidRPr="00C473D9" w:rsidRDefault="00E7558F" w:rsidP="009564A7">
            <w:pPr>
              <w:pStyle w:val="ListParagraph"/>
              <w:numPr>
                <w:ilvl w:val="0"/>
                <w:numId w:val="6"/>
              </w:numPr>
              <w:rPr>
                <w:sz w:val="20"/>
                <w:szCs w:val="20"/>
              </w:rPr>
            </w:pPr>
            <w:r w:rsidRPr="00C473D9">
              <w:rPr>
                <w:sz w:val="20"/>
                <w:szCs w:val="20"/>
              </w:rPr>
              <w:t>Potentially lower lapse rate due to ease of payment</w:t>
            </w:r>
          </w:p>
          <w:p w14:paraId="508BDC3C" w14:textId="77777777" w:rsidR="00A56CBF" w:rsidRPr="00C473D9" w:rsidRDefault="00A56CBF" w:rsidP="00A56CBF">
            <w:pPr>
              <w:ind w:left="360"/>
              <w:rPr>
                <w:sz w:val="20"/>
                <w:szCs w:val="20"/>
              </w:rPr>
            </w:pPr>
            <w:r w:rsidRPr="00C473D9">
              <w:rPr>
                <w:sz w:val="20"/>
                <w:szCs w:val="20"/>
              </w:rPr>
              <w:t>Whilst affordability and cashflow are important advantages of holding life cover inside super we will always recommend funding the premiums via contributions to ensure the SG level is maintained and retirement benefits are not eroded.</w:t>
            </w:r>
          </w:p>
          <w:p w14:paraId="208CC656" w14:textId="77777777" w:rsidR="009564A7" w:rsidRPr="00C473D9" w:rsidRDefault="009564A7" w:rsidP="006012EB">
            <w:pPr>
              <w:rPr>
                <w:sz w:val="20"/>
                <w:szCs w:val="20"/>
              </w:rPr>
            </w:pPr>
          </w:p>
          <w:p w14:paraId="53A1913B" w14:textId="77777777" w:rsidR="009564A7" w:rsidRPr="00C473D9" w:rsidRDefault="00C473D9" w:rsidP="006012EB">
            <w:pPr>
              <w:rPr>
                <w:sz w:val="20"/>
                <w:szCs w:val="20"/>
              </w:rPr>
            </w:pPr>
            <w:r w:rsidRPr="00C473D9">
              <w:rPr>
                <w:sz w:val="20"/>
                <w:szCs w:val="20"/>
              </w:rPr>
              <w:t>However</w:t>
            </w:r>
            <w:r w:rsidR="002961C8" w:rsidRPr="00C473D9">
              <w:rPr>
                <w:sz w:val="20"/>
                <w:szCs w:val="20"/>
              </w:rPr>
              <w:t xml:space="preserve"> , certain cases holding cover as a standal</w:t>
            </w:r>
            <w:r w:rsidRPr="00C473D9">
              <w:rPr>
                <w:sz w:val="20"/>
                <w:szCs w:val="20"/>
              </w:rPr>
              <w:t>o</w:t>
            </w:r>
            <w:r w:rsidR="002961C8" w:rsidRPr="00C473D9">
              <w:rPr>
                <w:sz w:val="20"/>
                <w:szCs w:val="20"/>
              </w:rPr>
              <w:t xml:space="preserve">ne policy </w:t>
            </w:r>
            <w:r w:rsidRPr="00C473D9">
              <w:rPr>
                <w:sz w:val="20"/>
                <w:szCs w:val="20"/>
              </w:rPr>
              <w:t>may be appropriate</w:t>
            </w:r>
            <w:r w:rsidR="002961C8" w:rsidRPr="00C473D9">
              <w:rPr>
                <w:sz w:val="20"/>
                <w:szCs w:val="20"/>
              </w:rPr>
              <w:t>:</w:t>
            </w:r>
          </w:p>
          <w:p w14:paraId="784D62EA" w14:textId="77777777" w:rsidR="009564A7" w:rsidRPr="00C473D9" w:rsidRDefault="009564A7" w:rsidP="009564A7">
            <w:pPr>
              <w:pStyle w:val="ListParagraph"/>
              <w:numPr>
                <w:ilvl w:val="0"/>
                <w:numId w:val="6"/>
              </w:numPr>
              <w:rPr>
                <w:sz w:val="20"/>
                <w:szCs w:val="20"/>
              </w:rPr>
            </w:pPr>
            <w:r w:rsidRPr="00C473D9">
              <w:rPr>
                <w:sz w:val="20"/>
                <w:szCs w:val="20"/>
              </w:rPr>
              <w:t>Ideally outside</w:t>
            </w:r>
            <w:r w:rsidR="007F5F00">
              <w:rPr>
                <w:sz w:val="20"/>
                <w:szCs w:val="20"/>
              </w:rPr>
              <w:t xml:space="preserve"> super so as not to erode super eg contribution cap issues</w:t>
            </w:r>
          </w:p>
          <w:p w14:paraId="4BD8AD15" w14:textId="77777777" w:rsidR="002961C8" w:rsidRPr="00C473D9" w:rsidRDefault="00C473D9" w:rsidP="009564A7">
            <w:pPr>
              <w:pStyle w:val="ListParagraph"/>
              <w:numPr>
                <w:ilvl w:val="0"/>
                <w:numId w:val="6"/>
              </w:numPr>
              <w:rPr>
                <w:sz w:val="20"/>
                <w:szCs w:val="20"/>
              </w:rPr>
            </w:pPr>
            <w:r w:rsidRPr="00C473D9">
              <w:rPr>
                <w:sz w:val="20"/>
                <w:szCs w:val="20"/>
              </w:rPr>
              <w:t>Adult chi</w:t>
            </w:r>
            <w:r w:rsidR="002961C8" w:rsidRPr="00C473D9">
              <w:rPr>
                <w:sz w:val="20"/>
                <w:szCs w:val="20"/>
              </w:rPr>
              <w:t>l</w:t>
            </w:r>
            <w:r w:rsidRPr="00C473D9">
              <w:rPr>
                <w:sz w:val="20"/>
                <w:szCs w:val="20"/>
              </w:rPr>
              <w:t>d</w:t>
            </w:r>
            <w:r w:rsidR="002961C8" w:rsidRPr="00C473D9">
              <w:rPr>
                <w:sz w:val="20"/>
                <w:szCs w:val="20"/>
              </w:rPr>
              <w:t xml:space="preserve">ren cater for </w:t>
            </w:r>
            <w:r w:rsidR="00D55671">
              <w:rPr>
                <w:sz w:val="20"/>
                <w:szCs w:val="20"/>
              </w:rPr>
              <w:t>eg non tax dependants or simplicity</w:t>
            </w:r>
          </w:p>
          <w:p w14:paraId="5274E50E" w14:textId="77777777" w:rsidR="002961C8" w:rsidRDefault="002961C8" w:rsidP="009564A7">
            <w:pPr>
              <w:pStyle w:val="ListParagraph"/>
              <w:numPr>
                <w:ilvl w:val="0"/>
                <w:numId w:val="6"/>
              </w:numPr>
              <w:rPr>
                <w:sz w:val="20"/>
                <w:szCs w:val="20"/>
              </w:rPr>
            </w:pPr>
            <w:r w:rsidRPr="00C473D9">
              <w:rPr>
                <w:sz w:val="20"/>
                <w:szCs w:val="20"/>
              </w:rPr>
              <w:t>Potentially easier to claim (quicker)</w:t>
            </w:r>
          </w:p>
          <w:p w14:paraId="69842F89" w14:textId="40755924" w:rsidR="00592A7E" w:rsidRPr="00C473D9" w:rsidRDefault="00592A7E" w:rsidP="009564A7">
            <w:pPr>
              <w:pStyle w:val="ListParagraph"/>
              <w:numPr>
                <w:ilvl w:val="0"/>
                <w:numId w:val="6"/>
              </w:numPr>
              <w:rPr>
                <w:sz w:val="20"/>
                <w:szCs w:val="20"/>
              </w:rPr>
            </w:pPr>
            <w:r>
              <w:rPr>
                <w:sz w:val="20"/>
                <w:szCs w:val="20"/>
              </w:rPr>
              <w:t xml:space="preserve">Buy/sell </w:t>
            </w:r>
            <w:r w:rsidR="00176F91">
              <w:rPr>
                <w:sz w:val="20"/>
                <w:szCs w:val="20"/>
              </w:rPr>
              <w:t>arrangements for Key Person Insurance</w:t>
            </w:r>
          </w:p>
          <w:p w14:paraId="0F2098BA" w14:textId="77777777" w:rsidR="009C334D" w:rsidRDefault="009C334D" w:rsidP="006012EB"/>
        </w:tc>
      </w:tr>
      <w:tr w:rsidR="009C334D" w14:paraId="3FBA4E82" w14:textId="77777777" w:rsidTr="00C6738C">
        <w:tc>
          <w:tcPr>
            <w:tcW w:w="3827" w:type="dxa"/>
          </w:tcPr>
          <w:p w14:paraId="595EA6A8" w14:textId="77777777" w:rsidR="009C334D" w:rsidRPr="003B5585" w:rsidRDefault="009C334D" w:rsidP="006012EB">
            <w:pPr>
              <w:pStyle w:val="Heading2"/>
            </w:pPr>
            <w:r w:rsidRPr="003B5585">
              <w:t>Premium style</w:t>
            </w:r>
          </w:p>
          <w:p w14:paraId="1F2C6475" w14:textId="77777777" w:rsidR="009C334D" w:rsidRPr="003B5585" w:rsidRDefault="009C334D" w:rsidP="006012EB">
            <w:pPr>
              <w:pStyle w:val="Heading2"/>
            </w:pPr>
          </w:p>
        </w:tc>
        <w:tc>
          <w:tcPr>
            <w:tcW w:w="10915" w:type="dxa"/>
          </w:tcPr>
          <w:p w14:paraId="0516A5CA" w14:textId="77777777" w:rsidR="009A386F" w:rsidRPr="00C473D9" w:rsidRDefault="009A386F" w:rsidP="006012EB">
            <w:pPr>
              <w:rPr>
                <w:sz w:val="20"/>
                <w:szCs w:val="20"/>
              </w:rPr>
            </w:pPr>
            <w:r w:rsidRPr="00C473D9">
              <w:rPr>
                <w:sz w:val="20"/>
                <w:szCs w:val="20"/>
              </w:rPr>
              <w:t xml:space="preserve">Stepped </w:t>
            </w:r>
            <w:r w:rsidR="00C473D9">
              <w:rPr>
                <w:sz w:val="20"/>
                <w:szCs w:val="20"/>
              </w:rPr>
              <w:t>premiums will generally be recommended with ongoing reviews.  As wealth increases and debts decrease over time there may be the opportunity to reduce levels of cover to compensate for rising premium rates.</w:t>
            </w:r>
          </w:p>
          <w:p w14:paraId="50E2DC39" w14:textId="77777777" w:rsidR="009A386F" w:rsidRPr="00C473D9" w:rsidRDefault="009A386F" w:rsidP="006012EB">
            <w:pPr>
              <w:rPr>
                <w:sz w:val="20"/>
                <w:szCs w:val="20"/>
              </w:rPr>
            </w:pPr>
          </w:p>
          <w:p w14:paraId="2A274622" w14:textId="77777777" w:rsidR="009C334D" w:rsidRPr="00C473D9" w:rsidRDefault="00126096" w:rsidP="00126096">
            <w:pPr>
              <w:rPr>
                <w:sz w:val="20"/>
                <w:szCs w:val="20"/>
              </w:rPr>
            </w:pPr>
            <w:r>
              <w:rPr>
                <w:sz w:val="20"/>
                <w:szCs w:val="20"/>
              </w:rPr>
              <w:t xml:space="preserve">However for </w:t>
            </w:r>
            <w:r w:rsidR="009A386F" w:rsidRPr="00C473D9">
              <w:rPr>
                <w:sz w:val="20"/>
                <w:szCs w:val="20"/>
              </w:rPr>
              <w:t xml:space="preserve">younger clients </w:t>
            </w:r>
            <w:r>
              <w:rPr>
                <w:sz w:val="20"/>
                <w:szCs w:val="20"/>
              </w:rPr>
              <w:t xml:space="preserve">(&lt; 35 ys) </w:t>
            </w:r>
            <w:r w:rsidR="009A386F" w:rsidRPr="00C473D9">
              <w:rPr>
                <w:sz w:val="20"/>
                <w:szCs w:val="20"/>
              </w:rPr>
              <w:t xml:space="preserve">level </w:t>
            </w:r>
            <w:r>
              <w:rPr>
                <w:sz w:val="20"/>
                <w:szCs w:val="20"/>
              </w:rPr>
              <w:t>premiums may be considered where the differential between stepped and level is low.</w:t>
            </w:r>
          </w:p>
        </w:tc>
      </w:tr>
      <w:tr w:rsidR="009C334D" w14:paraId="3E8A029F" w14:textId="77777777" w:rsidTr="00C6738C">
        <w:tc>
          <w:tcPr>
            <w:tcW w:w="3827" w:type="dxa"/>
          </w:tcPr>
          <w:p w14:paraId="6962A7FE" w14:textId="77777777" w:rsidR="009C334D" w:rsidRPr="003B5585" w:rsidRDefault="009C334D" w:rsidP="006012EB">
            <w:pPr>
              <w:pStyle w:val="Heading2"/>
            </w:pPr>
            <w:r w:rsidRPr="003B5585">
              <w:t>Definitions</w:t>
            </w:r>
          </w:p>
        </w:tc>
        <w:tc>
          <w:tcPr>
            <w:tcW w:w="10915" w:type="dxa"/>
          </w:tcPr>
          <w:p w14:paraId="08D3A227" w14:textId="77777777" w:rsidR="009C334D" w:rsidRPr="00C473D9" w:rsidRDefault="003D62B2" w:rsidP="006012EB">
            <w:pPr>
              <w:rPr>
                <w:sz w:val="20"/>
                <w:szCs w:val="20"/>
              </w:rPr>
            </w:pPr>
            <w:r w:rsidRPr="00C473D9">
              <w:rPr>
                <w:sz w:val="20"/>
                <w:szCs w:val="20"/>
              </w:rPr>
              <w:t xml:space="preserve">Terminals illness </w:t>
            </w:r>
            <w:r w:rsidR="00126096">
              <w:rPr>
                <w:sz w:val="20"/>
                <w:szCs w:val="20"/>
              </w:rPr>
              <w:t>as a</w:t>
            </w:r>
            <w:r w:rsidRPr="00C473D9">
              <w:rPr>
                <w:sz w:val="20"/>
                <w:szCs w:val="20"/>
              </w:rPr>
              <w:t xml:space="preserve"> standard</w:t>
            </w:r>
            <w:r w:rsidR="00126096">
              <w:rPr>
                <w:sz w:val="20"/>
                <w:szCs w:val="20"/>
              </w:rPr>
              <w:t xml:space="preserve"> definition with a minimum period of 12 months.</w:t>
            </w:r>
            <w:r w:rsidRPr="00C473D9">
              <w:rPr>
                <w:sz w:val="20"/>
                <w:szCs w:val="20"/>
              </w:rPr>
              <w:t>.</w:t>
            </w:r>
          </w:p>
          <w:p w14:paraId="3A0074B4" w14:textId="77777777" w:rsidR="009C334D" w:rsidRPr="00C473D9" w:rsidRDefault="009C334D" w:rsidP="006012EB">
            <w:pPr>
              <w:rPr>
                <w:sz w:val="20"/>
                <w:szCs w:val="20"/>
              </w:rPr>
            </w:pPr>
          </w:p>
        </w:tc>
      </w:tr>
    </w:tbl>
    <w:p w14:paraId="4F935073" w14:textId="77777777" w:rsidR="00D55671" w:rsidRDefault="00D55671">
      <w:r>
        <w:rPr>
          <w:b/>
          <w:bCs/>
          <w:iCs/>
        </w:rPr>
        <w:br w:type="page"/>
      </w:r>
    </w:p>
    <w:tbl>
      <w:tblPr>
        <w:tblStyle w:val="TableGrid"/>
        <w:tblW w:w="14742" w:type="dxa"/>
        <w:tblInd w:w="279" w:type="dxa"/>
        <w:tblLook w:val="04A0" w:firstRow="1" w:lastRow="0" w:firstColumn="1" w:lastColumn="0" w:noHBand="0" w:noVBand="1"/>
      </w:tblPr>
      <w:tblGrid>
        <w:gridCol w:w="3827"/>
        <w:gridCol w:w="10915"/>
      </w:tblGrid>
      <w:tr w:rsidR="009C334D" w14:paraId="305B568F" w14:textId="77777777" w:rsidTr="00C6738C">
        <w:tc>
          <w:tcPr>
            <w:tcW w:w="3827" w:type="dxa"/>
          </w:tcPr>
          <w:p w14:paraId="61821894" w14:textId="77777777" w:rsidR="009C334D" w:rsidRPr="003B5585" w:rsidRDefault="009C334D" w:rsidP="006012EB">
            <w:pPr>
              <w:pStyle w:val="Heading2"/>
            </w:pPr>
            <w:r w:rsidRPr="003B5585">
              <w:lastRenderedPageBreak/>
              <w:t>Product features</w:t>
            </w:r>
          </w:p>
          <w:p w14:paraId="56F5C692" w14:textId="77777777" w:rsidR="009C334D" w:rsidRPr="003B5585" w:rsidRDefault="009C334D" w:rsidP="006012EB">
            <w:pPr>
              <w:pStyle w:val="Heading2"/>
            </w:pPr>
          </w:p>
        </w:tc>
        <w:tc>
          <w:tcPr>
            <w:tcW w:w="10915" w:type="dxa"/>
          </w:tcPr>
          <w:p w14:paraId="2DCFC2F4" w14:textId="77777777" w:rsidR="009C334D" w:rsidRPr="00C473D9" w:rsidRDefault="009A386F" w:rsidP="006012EB">
            <w:pPr>
              <w:rPr>
                <w:sz w:val="20"/>
                <w:szCs w:val="20"/>
              </w:rPr>
            </w:pPr>
            <w:r w:rsidRPr="00C473D9">
              <w:rPr>
                <w:sz w:val="20"/>
                <w:szCs w:val="20"/>
              </w:rPr>
              <w:t>Indexation</w:t>
            </w:r>
            <w:r w:rsidR="00126096">
              <w:rPr>
                <w:sz w:val="20"/>
                <w:szCs w:val="20"/>
              </w:rPr>
              <w:t xml:space="preserve"> of benefits</w:t>
            </w:r>
          </w:p>
          <w:p w14:paraId="1676E468" w14:textId="77777777" w:rsidR="009A386F" w:rsidRPr="00C473D9" w:rsidRDefault="00126096" w:rsidP="006012EB">
            <w:pPr>
              <w:rPr>
                <w:sz w:val="20"/>
                <w:szCs w:val="20"/>
              </w:rPr>
            </w:pPr>
            <w:r>
              <w:rPr>
                <w:sz w:val="20"/>
                <w:szCs w:val="20"/>
              </w:rPr>
              <w:t xml:space="preserve">Guaranteed </w:t>
            </w:r>
            <w:r w:rsidR="00CA15BA" w:rsidRPr="00C473D9">
              <w:rPr>
                <w:sz w:val="20"/>
                <w:szCs w:val="20"/>
              </w:rPr>
              <w:t>re</w:t>
            </w:r>
            <w:r>
              <w:rPr>
                <w:sz w:val="20"/>
                <w:szCs w:val="20"/>
              </w:rPr>
              <w:t>newability.</w:t>
            </w:r>
          </w:p>
          <w:p w14:paraId="6A25347C" w14:textId="77777777" w:rsidR="009C334D" w:rsidRPr="00C473D9" w:rsidRDefault="009C334D" w:rsidP="006012EB">
            <w:pPr>
              <w:rPr>
                <w:sz w:val="20"/>
                <w:szCs w:val="20"/>
              </w:rPr>
            </w:pPr>
          </w:p>
        </w:tc>
      </w:tr>
      <w:tr w:rsidR="009C334D" w14:paraId="25FFB8D0" w14:textId="77777777" w:rsidTr="00C6738C">
        <w:tc>
          <w:tcPr>
            <w:tcW w:w="3827" w:type="dxa"/>
          </w:tcPr>
          <w:p w14:paraId="3B1479CD" w14:textId="77777777" w:rsidR="009C334D" w:rsidRPr="003B5585" w:rsidRDefault="009C334D" w:rsidP="006012EB">
            <w:pPr>
              <w:pStyle w:val="Heading2"/>
            </w:pPr>
            <w:r w:rsidRPr="003B5585">
              <w:t>Sum insured methodology</w:t>
            </w:r>
          </w:p>
          <w:p w14:paraId="1B917CC0" w14:textId="77777777" w:rsidR="009C334D" w:rsidRPr="003B5585" w:rsidRDefault="009C334D" w:rsidP="006012EB">
            <w:pPr>
              <w:pStyle w:val="Heading2"/>
            </w:pPr>
          </w:p>
        </w:tc>
        <w:tc>
          <w:tcPr>
            <w:tcW w:w="10915" w:type="dxa"/>
          </w:tcPr>
          <w:p w14:paraId="376B8BF8" w14:textId="77777777" w:rsidR="009C334D" w:rsidRPr="00C473D9" w:rsidRDefault="00A43AA6" w:rsidP="006012EB">
            <w:pPr>
              <w:rPr>
                <w:sz w:val="20"/>
                <w:szCs w:val="20"/>
              </w:rPr>
            </w:pPr>
            <w:r w:rsidRPr="00C473D9">
              <w:rPr>
                <w:sz w:val="20"/>
                <w:szCs w:val="20"/>
              </w:rPr>
              <w:t>Generally all deductible</w:t>
            </w:r>
            <w:r w:rsidR="00126096">
              <w:rPr>
                <w:sz w:val="20"/>
                <w:szCs w:val="20"/>
              </w:rPr>
              <w:t xml:space="preserve"> </w:t>
            </w:r>
            <w:r w:rsidRPr="00C473D9">
              <w:rPr>
                <w:sz w:val="20"/>
                <w:szCs w:val="20"/>
              </w:rPr>
              <w:t>debts will be cleared.</w:t>
            </w:r>
          </w:p>
          <w:p w14:paraId="33E5881B" w14:textId="77777777" w:rsidR="00A43AA6" w:rsidRPr="00C473D9" w:rsidRDefault="00A43AA6" w:rsidP="006012EB">
            <w:pPr>
              <w:rPr>
                <w:sz w:val="20"/>
                <w:szCs w:val="20"/>
              </w:rPr>
            </w:pPr>
            <w:r w:rsidRPr="00C473D9">
              <w:rPr>
                <w:sz w:val="20"/>
                <w:szCs w:val="20"/>
              </w:rPr>
              <w:t>Inve</w:t>
            </w:r>
            <w:r w:rsidR="00126096">
              <w:rPr>
                <w:sz w:val="20"/>
                <w:szCs w:val="20"/>
              </w:rPr>
              <w:t>s</w:t>
            </w:r>
            <w:r w:rsidRPr="00C473D9">
              <w:rPr>
                <w:sz w:val="20"/>
                <w:szCs w:val="20"/>
              </w:rPr>
              <w:t xml:space="preserve">tment loans other </w:t>
            </w:r>
            <w:r w:rsidR="00126096">
              <w:rPr>
                <w:sz w:val="20"/>
                <w:szCs w:val="20"/>
              </w:rPr>
              <w:t xml:space="preserve">non-deductible debt </w:t>
            </w:r>
            <w:r w:rsidRPr="00C473D9">
              <w:rPr>
                <w:sz w:val="20"/>
                <w:szCs w:val="20"/>
              </w:rPr>
              <w:t>will be discussed with the clients.</w:t>
            </w:r>
          </w:p>
          <w:p w14:paraId="07A33394" w14:textId="77777777" w:rsidR="00A43AA6" w:rsidRPr="00C473D9" w:rsidRDefault="000A2A27" w:rsidP="006012EB">
            <w:pPr>
              <w:rPr>
                <w:sz w:val="20"/>
                <w:szCs w:val="20"/>
              </w:rPr>
            </w:pPr>
            <w:r>
              <w:rPr>
                <w:sz w:val="20"/>
                <w:szCs w:val="20"/>
              </w:rPr>
              <w:t>To replace the income lost as a result of death we w</w:t>
            </w:r>
            <w:r w:rsidR="00A43AA6" w:rsidRPr="00C473D9">
              <w:rPr>
                <w:sz w:val="20"/>
                <w:szCs w:val="20"/>
              </w:rPr>
              <w:t xml:space="preserve">ill generally </w:t>
            </w:r>
            <w:r>
              <w:rPr>
                <w:sz w:val="20"/>
                <w:szCs w:val="20"/>
              </w:rPr>
              <w:t xml:space="preserve">recommend </w:t>
            </w:r>
            <w:r w:rsidR="00A43AA6" w:rsidRPr="00C473D9">
              <w:rPr>
                <w:sz w:val="20"/>
                <w:szCs w:val="20"/>
              </w:rPr>
              <w:t>be covered the net househol</w:t>
            </w:r>
            <w:r>
              <w:rPr>
                <w:sz w:val="20"/>
                <w:szCs w:val="20"/>
              </w:rPr>
              <w:t>d</w:t>
            </w:r>
            <w:r w:rsidR="00A43AA6" w:rsidRPr="00C473D9">
              <w:rPr>
                <w:sz w:val="20"/>
                <w:szCs w:val="20"/>
              </w:rPr>
              <w:t xml:space="preserve"> income less </w:t>
            </w:r>
            <w:r>
              <w:rPr>
                <w:sz w:val="20"/>
                <w:szCs w:val="20"/>
              </w:rPr>
              <w:t>allowance for cleared</w:t>
            </w:r>
            <w:r w:rsidR="00A43AA6" w:rsidRPr="00C473D9">
              <w:rPr>
                <w:sz w:val="20"/>
                <w:szCs w:val="20"/>
              </w:rPr>
              <w:t xml:space="preserve"> debt</w:t>
            </w:r>
            <w:r>
              <w:rPr>
                <w:sz w:val="20"/>
                <w:szCs w:val="20"/>
              </w:rPr>
              <w:t xml:space="preserve"> repayments</w:t>
            </w:r>
            <w:r w:rsidR="00A43AA6" w:rsidRPr="00C473D9">
              <w:rPr>
                <w:sz w:val="20"/>
                <w:szCs w:val="20"/>
              </w:rPr>
              <w:t>.</w:t>
            </w:r>
          </w:p>
          <w:p w14:paraId="1AFE57FC" w14:textId="77777777" w:rsidR="00A43AA6" w:rsidRPr="00C473D9" w:rsidRDefault="000A2A27" w:rsidP="006012EB">
            <w:pPr>
              <w:rPr>
                <w:sz w:val="20"/>
                <w:szCs w:val="20"/>
              </w:rPr>
            </w:pPr>
            <w:r>
              <w:rPr>
                <w:sz w:val="20"/>
                <w:szCs w:val="20"/>
              </w:rPr>
              <w:t>Thus income will be provided f</w:t>
            </w:r>
            <w:r w:rsidR="00A43AA6" w:rsidRPr="00C473D9">
              <w:rPr>
                <w:sz w:val="20"/>
                <w:szCs w:val="20"/>
              </w:rPr>
              <w:t xml:space="preserve">or a period of either retirement age </w:t>
            </w:r>
            <w:r w:rsidR="00D55671">
              <w:rPr>
                <w:sz w:val="20"/>
                <w:szCs w:val="20"/>
              </w:rPr>
              <w:t xml:space="preserve">or the youngest child ceases to be a dependant - </w:t>
            </w:r>
            <w:r w:rsidR="00A43AA6" w:rsidRPr="00C473D9">
              <w:rPr>
                <w:sz w:val="20"/>
                <w:szCs w:val="20"/>
              </w:rPr>
              <w:t>subject to client cashflow and agreement.</w:t>
            </w:r>
            <w:r w:rsidR="00D55671">
              <w:rPr>
                <w:sz w:val="20"/>
                <w:szCs w:val="20"/>
              </w:rPr>
              <w:t xml:space="preserve"> A split period </w:t>
            </w:r>
            <w:r w:rsidR="00BB4BBB">
              <w:rPr>
                <w:sz w:val="20"/>
                <w:szCs w:val="20"/>
              </w:rPr>
              <w:t xml:space="preserve">of different income levels </w:t>
            </w:r>
            <w:r w:rsidR="00D55671">
              <w:rPr>
                <w:sz w:val="20"/>
                <w:szCs w:val="20"/>
              </w:rPr>
              <w:t xml:space="preserve">may be appropriate. </w:t>
            </w:r>
          </w:p>
          <w:p w14:paraId="2A822043" w14:textId="77777777" w:rsidR="009C334D" w:rsidRPr="00C473D9" w:rsidRDefault="00126096" w:rsidP="006012EB">
            <w:pPr>
              <w:rPr>
                <w:sz w:val="20"/>
                <w:szCs w:val="20"/>
              </w:rPr>
            </w:pPr>
            <w:r>
              <w:rPr>
                <w:sz w:val="20"/>
                <w:szCs w:val="20"/>
              </w:rPr>
              <w:t>For future expenses the clients will be consulted regarding education costs</w:t>
            </w:r>
            <w:r w:rsidR="00D55671">
              <w:rPr>
                <w:sz w:val="20"/>
                <w:szCs w:val="20"/>
              </w:rPr>
              <w:t xml:space="preserve"> and other costs will be referred to form the Count sum insured guide eg funeral costs.</w:t>
            </w:r>
          </w:p>
          <w:p w14:paraId="5D1C6947" w14:textId="77777777" w:rsidR="009C334D" w:rsidRDefault="009C334D" w:rsidP="006012EB"/>
        </w:tc>
      </w:tr>
    </w:tbl>
    <w:p w14:paraId="5E61CC3E" w14:textId="77777777" w:rsidR="009C334D" w:rsidRDefault="009C334D" w:rsidP="00356B18"/>
    <w:p w14:paraId="68E547B4" w14:textId="77777777" w:rsidR="00C062A9" w:rsidRDefault="00C062A9">
      <w:pPr>
        <w:spacing w:before="0" w:after="0" w:line="240" w:lineRule="auto"/>
        <w:rPr>
          <w:b/>
          <w:spacing w:val="-4"/>
          <w:sz w:val="28"/>
          <w:szCs w:val="28"/>
        </w:rPr>
      </w:pPr>
      <w:r>
        <w:br w:type="page"/>
      </w:r>
    </w:p>
    <w:p w14:paraId="3EFCB4C9" w14:textId="77777777" w:rsidR="005724B9" w:rsidRDefault="009C334D" w:rsidP="009C334D">
      <w:pPr>
        <w:pStyle w:val="Heading1"/>
      </w:pPr>
      <w:r>
        <w:lastRenderedPageBreak/>
        <w:t>TPD COVER</w:t>
      </w:r>
    </w:p>
    <w:p w14:paraId="7FB0482D" w14:textId="77777777" w:rsidR="005724B9" w:rsidRDefault="005724B9" w:rsidP="00356B18"/>
    <w:tbl>
      <w:tblPr>
        <w:tblStyle w:val="TableGrid"/>
        <w:tblW w:w="14742" w:type="dxa"/>
        <w:tblInd w:w="279" w:type="dxa"/>
        <w:tblLook w:val="04A0" w:firstRow="1" w:lastRow="0" w:firstColumn="1" w:lastColumn="0" w:noHBand="0" w:noVBand="1"/>
      </w:tblPr>
      <w:tblGrid>
        <w:gridCol w:w="3827"/>
        <w:gridCol w:w="10915"/>
      </w:tblGrid>
      <w:tr w:rsidR="009C334D" w14:paraId="14E9D12F" w14:textId="77777777" w:rsidTr="00C6738C">
        <w:tc>
          <w:tcPr>
            <w:tcW w:w="3827" w:type="dxa"/>
          </w:tcPr>
          <w:p w14:paraId="28CDD94A" w14:textId="77777777" w:rsidR="009C334D" w:rsidRPr="003B5585" w:rsidRDefault="009C334D" w:rsidP="006012EB">
            <w:pPr>
              <w:pStyle w:val="Heading2"/>
            </w:pPr>
            <w:r w:rsidRPr="003B5585">
              <w:t>Ownership &amp; structure</w:t>
            </w:r>
          </w:p>
          <w:p w14:paraId="7C15B7EF" w14:textId="77777777" w:rsidR="009C334D" w:rsidRPr="003B5585" w:rsidRDefault="009C334D" w:rsidP="006012EB">
            <w:pPr>
              <w:pStyle w:val="Heading2"/>
            </w:pPr>
          </w:p>
        </w:tc>
        <w:tc>
          <w:tcPr>
            <w:tcW w:w="10915" w:type="dxa"/>
          </w:tcPr>
          <w:p w14:paraId="683E33AC" w14:textId="15973013" w:rsidR="004A35E6" w:rsidRPr="00D55671" w:rsidRDefault="004A35E6" w:rsidP="004A35E6">
            <w:pPr>
              <w:rPr>
                <w:sz w:val="20"/>
                <w:szCs w:val="20"/>
              </w:rPr>
            </w:pPr>
            <w:r w:rsidRPr="00D55671">
              <w:rPr>
                <w:sz w:val="20"/>
                <w:szCs w:val="20"/>
              </w:rPr>
              <w:t xml:space="preserve">Generally </w:t>
            </w:r>
            <w:r w:rsidR="00D55671" w:rsidRPr="00D55671">
              <w:rPr>
                <w:sz w:val="20"/>
                <w:szCs w:val="20"/>
              </w:rPr>
              <w:t xml:space="preserve">TPD </w:t>
            </w:r>
            <w:r w:rsidR="007F5F00">
              <w:rPr>
                <w:sz w:val="20"/>
                <w:szCs w:val="20"/>
              </w:rPr>
              <w:t xml:space="preserve">cover </w:t>
            </w:r>
            <w:r w:rsidR="00D55671" w:rsidRPr="00D55671">
              <w:rPr>
                <w:sz w:val="20"/>
                <w:szCs w:val="20"/>
              </w:rPr>
              <w:t>will be recommend to be held in</w:t>
            </w:r>
            <w:r w:rsidRPr="00D55671">
              <w:rPr>
                <w:sz w:val="20"/>
                <w:szCs w:val="20"/>
              </w:rPr>
              <w:t xml:space="preserve">side </w:t>
            </w:r>
            <w:r w:rsidR="00D55671" w:rsidRPr="00D55671">
              <w:rPr>
                <w:sz w:val="20"/>
                <w:szCs w:val="20"/>
              </w:rPr>
              <w:t>super</w:t>
            </w:r>
            <w:r w:rsidRPr="00D55671">
              <w:rPr>
                <w:sz w:val="20"/>
                <w:szCs w:val="20"/>
              </w:rPr>
              <w:t xml:space="preserve"> </w:t>
            </w:r>
            <w:r w:rsidR="00176F91">
              <w:rPr>
                <w:sz w:val="20"/>
                <w:szCs w:val="20"/>
              </w:rPr>
              <w:t>however with a flexi link feature to achieve own occupation status where possible, Why</w:t>
            </w:r>
            <w:r w:rsidRPr="00D55671">
              <w:rPr>
                <w:sz w:val="20"/>
                <w:szCs w:val="20"/>
              </w:rPr>
              <w:t>:</w:t>
            </w:r>
          </w:p>
          <w:p w14:paraId="35514466" w14:textId="77777777" w:rsidR="004A35E6" w:rsidRPr="00D55671" w:rsidRDefault="007F5F00" w:rsidP="004A35E6">
            <w:pPr>
              <w:pStyle w:val="ListParagraph"/>
              <w:numPr>
                <w:ilvl w:val="0"/>
                <w:numId w:val="6"/>
              </w:numPr>
              <w:rPr>
                <w:sz w:val="20"/>
                <w:szCs w:val="20"/>
              </w:rPr>
            </w:pPr>
            <w:r>
              <w:rPr>
                <w:sz w:val="20"/>
                <w:szCs w:val="20"/>
              </w:rPr>
              <w:t>It is</w:t>
            </w:r>
            <w:r w:rsidR="004A35E6" w:rsidRPr="00D55671">
              <w:rPr>
                <w:sz w:val="20"/>
                <w:szCs w:val="20"/>
              </w:rPr>
              <w:t xml:space="preserve"> tax effective becau</w:t>
            </w:r>
            <w:r w:rsidR="00D55671">
              <w:rPr>
                <w:sz w:val="20"/>
                <w:szCs w:val="20"/>
              </w:rPr>
              <w:t xml:space="preserve">se it can be funded via pretax </w:t>
            </w:r>
            <w:r w:rsidR="004A35E6" w:rsidRPr="00D55671">
              <w:rPr>
                <w:sz w:val="20"/>
                <w:szCs w:val="20"/>
              </w:rPr>
              <w:t>contribut</w:t>
            </w:r>
            <w:r w:rsidR="00D55671">
              <w:rPr>
                <w:sz w:val="20"/>
                <w:szCs w:val="20"/>
              </w:rPr>
              <w:t>i</w:t>
            </w:r>
            <w:r w:rsidR="004A35E6" w:rsidRPr="00D55671">
              <w:rPr>
                <w:sz w:val="20"/>
                <w:szCs w:val="20"/>
              </w:rPr>
              <w:t>ons</w:t>
            </w:r>
            <w:r>
              <w:rPr>
                <w:sz w:val="20"/>
                <w:szCs w:val="20"/>
              </w:rPr>
              <w:t xml:space="preserve"> </w:t>
            </w:r>
          </w:p>
          <w:p w14:paraId="09B9BAA6" w14:textId="77777777" w:rsidR="004A35E6" w:rsidRPr="00D55671" w:rsidRDefault="00D55671" w:rsidP="004A35E6">
            <w:pPr>
              <w:pStyle w:val="ListParagraph"/>
              <w:numPr>
                <w:ilvl w:val="0"/>
                <w:numId w:val="6"/>
              </w:numPr>
              <w:rPr>
                <w:sz w:val="20"/>
                <w:szCs w:val="20"/>
              </w:rPr>
            </w:pPr>
            <w:r>
              <w:rPr>
                <w:sz w:val="20"/>
                <w:szCs w:val="20"/>
              </w:rPr>
              <w:t>Premiums are t</w:t>
            </w:r>
            <w:r w:rsidR="004A35E6" w:rsidRPr="00D55671">
              <w:rPr>
                <w:sz w:val="20"/>
                <w:szCs w:val="20"/>
              </w:rPr>
              <w:t>ax de</w:t>
            </w:r>
            <w:r>
              <w:rPr>
                <w:sz w:val="20"/>
                <w:szCs w:val="20"/>
              </w:rPr>
              <w:t>du</w:t>
            </w:r>
            <w:r w:rsidR="004A35E6" w:rsidRPr="00D55671">
              <w:rPr>
                <w:sz w:val="20"/>
                <w:szCs w:val="20"/>
              </w:rPr>
              <w:t>ctible</w:t>
            </w:r>
            <w:r>
              <w:rPr>
                <w:sz w:val="20"/>
                <w:szCs w:val="20"/>
              </w:rPr>
              <w:t xml:space="preserve"> </w:t>
            </w:r>
            <w:r w:rsidR="004A35E6" w:rsidRPr="00D55671">
              <w:rPr>
                <w:sz w:val="20"/>
                <w:szCs w:val="20"/>
              </w:rPr>
              <w:t>to super</w:t>
            </w:r>
            <w:r w:rsidRPr="00D55671">
              <w:rPr>
                <w:sz w:val="20"/>
                <w:szCs w:val="20"/>
              </w:rPr>
              <w:t xml:space="preserve"> </w:t>
            </w:r>
            <w:r>
              <w:rPr>
                <w:sz w:val="20"/>
                <w:szCs w:val="20"/>
              </w:rPr>
              <w:t>f</w:t>
            </w:r>
            <w:r w:rsidR="004A35E6" w:rsidRPr="00D55671">
              <w:rPr>
                <w:sz w:val="20"/>
                <w:szCs w:val="20"/>
              </w:rPr>
              <w:t>und</w:t>
            </w:r>
          </w:p>
          <w:p w14:paraId="353A319F" w14:textId="77777777" w:rsidR="004A35E6" w:rsidRDefault="004A35E6" w:rsidP="004A35E6">
            <w:pPr>
              <w:pStyle w:val="ListParagraph"/>
              <w:numPr>
                <w:ilvl w:val="0"/>
                <w:numId w:val="6"/>
              </w:numPr>
              <w:rPr>
                <w:sz w:val="20"/>
                <w:szCs w:val="20"/>
              </w:rPr>
            </w:pPr>
            <w:r w:rsidRPr="00D55671">
              <w:rPr>
                <w:sz w:val="20"/>
                <w:szCs w:val="20"/>
              </w:rPr>
              <w:t>Benefit</w:t>
            </w:r>
            <w:r w:rsidR="00D55671">
              <w:rPr>
                <w:sz w:val="20"/>
                <w:szCs w:val="20"/>
              </w:rPr>
              <w:t>s can be taken as tax efficient income streams</w:t>
            </w:r>
            <w:r w:rsidRPr="00D55671">
              <w:rPr>
                <w:sz w:val="20"/>
                <w:szCs w:val="20"/>
              </w:rPr>
              <w:t>.</w:t>
            </w:r>
          </w:p>
          <w:p w14:paraId="148E66E6" w14:textId="77777777" w:rsidR="007F5F00" w:rsidRPr="00D55671" w:rsidRDefault="007F5F00" w:rsidP="004A35E6">
            <w:pPr>
              <w:pStyle w:val="ListParagraph"/>
              <w:numPr>
                <w:ilvl w:val="0"/>
                <w:numId w:val="6"/>
              </w:numPr>
              <w:rPr>
                <w:sz w:val="20"/>
                <w:szCs w:val="20"/>
              </w:rPr>
            </w:pPr>
            <w:r>
              <w:rPr>
                <w:sz w:val="20"/>
                <w:szCs w:val="20"/>
              </w:rPr>
              <w:t>Affordability &amp; cashflow issues - ensuring the fund issue is addressed.</w:t>
            </w:r>
          </w:p>
          <w:p w14:paraId="360E39A1" w14:textId="77777777" w:rsidR="004A35E6" w:rsidRPr="00D55671" w:rsidRDefault="007F5F00" w:rsidP="004A35E6">
            <w:pPr>
              <w:rPr>
                <w:sz w:val="20"/>
                <w:szCs w:val="20"/>
              </w:rPr>
            </w:pPr>
            <w:r>
              <w:rPr>
                <w:sz w:val="20"/>
                <w:szCs w:val="20"/>
              </w:rPr>
              <w:t>However</w:t>
            </w:r>
            <w:r w:rsidR="004A35E6" w:rsidRPr="00D55671">
              <w:rPr>
                <w:sz w:val="20"/>
                <w:szCs w:val="20"/>
              </w:rPr>
              <w:t xml:space="preserve"> , </w:t>
            </w:r>
            <w:r w:rsidR="003902F1">
              <w:rPr>
                <w:sz w:val="20"/>
                <w:szCs w:val="20"/>
              </w:rPr>
              <w:t xml:space="preserve">for some clients </w:t>
            </w:r>
            <w:r>
              <w:rPr>
                <w:sz w:val="20"/>
                <w:szCs w:val="20"/>
              </w:rPr>
              <w:t>holding cover as a stand alo</w:t>
            </w:r>
            <w:r w:rsidR="004A35E6" w:rsidRPr="00D55671">
              <w:rPr>
                <w:sz w:val="20"/>
                <w:szCs w:val="20"/>
              </w:rPr>
              <w:t xml:space="preserve">ne policy </w:t>
            </w:r>
            <w:r w:rsidR="003902F1">
              <w:rPr>
                <w:sz w:val="20"/>
                <w:szCs w:val="20"/>
              </w:rPr>
              <w:t>may be appropriate</w:t>
            </w:r>
            <w:r w:rsidR="004A35E6" w:rsidRPr="00D55671">
              <w:rPr>
                <w:sz w:val="20"/>
                <w:szCs w:val="20"/>
              </w:rPr>
              <w:t>:</w:t>
            </w:r>
          </w:p>
          <w:p w14:paraId="5AC5B88B" w14:textId="77777777" w:rsidR="003902F1" w:rsidRDefault="003902F1" w:rsidP="0080020E">
            <w:pPr>
              <w:pStyle w:val="ListParagraph"/>
              <w:numPr>
                <w:ilvl w:val="0"/>
                <w:numId w:val="6"/>
              </w:numPr>
              <w:rPr>
                <w:sz w:val="20"/>
                <w:szCs w:val="20"/>
              </w:rPr>
            </w:pPr>
            <w:r>
              <w:rPr>
                <w:sz w:val="20"/>
                <w:szCs w:val="20"/>
              </w:rPr>
              <w:t>To obtain a ‘own occupation’ definition.</w:t>
            </w:r>
          </w:p>
          <w:p w14:paraId="6E458B47" w14:textId="77777777" w:rsidR="004A35E6" w:rsidRPr="00D55671" w:rsidRDefault="003902F1" w:rsidP="0080020E">
            <w:pPr>
              <w:pStyle w:val="ListParagraph"/>
              <w:numPr>
                <w:ilvl w:val="0"/>
                <w:numId w:val="6"/>
              </w:numPr>
              <w:rPr>
                <w:sz w:val="20"/>
                <w:szCs w:val="20"/>
              </w:rPr>
            </w:pPr>
            <w:r>
              <w:rPr>
                <w:sz w:val="20"/>
                <w:szCs w:val="20"/>
              </w:rPr>
              <w:t>N</w:t>
            </w:r>
            <w:r w:rsidR="004A35E6" w:rsidRPr="00D55671">
              <w:rPr>
                <w:sz w:val="20"/>
                <w:szCs w:val="20"/>
              </w:rPr>
              <w:t xml:space="preserve">ot to erode super. </w:t>
            </w:r>
          </w:p>
          <w:p w14:paraId="7CFD1A60" w14:textId="77777777" w:rsidR="009C334D" w:rsidRPr="00BB4BBB" w:rsidRDefault="004A35E6" w:rsidP="006012EB">
            <w:pPr>
              <w:pStyle w:val="ListParagraph"/>
              <w:numPr>
                <w:ilvl w:val="0"/>
                <w:numId w:val="6"/>
              </w:numPr>
              <w:rPr>
                <w:sz w:val="20"/>
                <w:szCs w:val="20"/>
              </w:rPr>
            </w:pPr>
            <w:r w:rsidRPr="00D55671">
              <w:rPr>
                <w:sz w:val="20"/>
                <w:szCs w:val="20"/>
              </w:rPr>
              <w:t>Potentially easier to claim ( quicker)</w:t>
            </w:r>
          </w:p>
        </w:tc>
      </w:tr>
      <w:tr w:rsidR="009C334D" w14:paraId="2BC428C2" w14:textId="77777777" w:rsidTr="00C6738C">
        <w:tc>
          <w:tcPr>
            <w:tcW w:w="3827" w:type="dxa"/>
          </w:tcPr>
          <w:p w14:paraId="690AB8BC" w14:textId="77777777" w:rsidR="009C334D" w:rsidRPr="003B5585" w:rsidRDefault="009C334D" w:rsidP="006012EB">
            <w:pPr>
              <w:pStyle w:val="Heading2"/>
            </w:pPr>
            <w:r w:rsidRPr="003B5585">
              <w:t>Premium style</w:t>
            </w:r>
          </w:p>
          <w:p w14:paraId="5B5DFB22" w14:textId="77777777" w:rsidR="009C334D" w:rsidRPr="003B5585" w:rsidRDefault="009C334D" w:rsidP="006012EB">
            <w:pPr>
              <w:pStyle w:val="Heading2"/>
            </w:pPr>
          </w:p>
        </w:tc>
        <w:tc>
          <w:tcPr>
            <w:tcW w:w="10915" w:type="dxa"/>
          </w:tcPr>
          <w:p w14:paraId="3F782457" w14:textId="77777777" w:rsidR="009C334D" w:rsidRPr="00D55671" w:rsidRDefault="00D55671" w:rsidP="006012EB">
            <w:pPr>
              <w:rPr>
                <w:sz w:val="20"/>
                <w:szCs w:val="20"/>
              </w:rPr>
            </w:pPr>
            <w:r w:rsidRPr="00D55671">
              <w:rPr>
                <w:sz w:val="20"/>
                <w:szCs w:val="20"/>
              </w:rPr>
              <w:t>Generally TPD will be linked to death and therefore s</w:t>
            </w:r>
            <w:r w:rsidR="00E7558F" w:rsidRPr="00D55671">
              <w:rPr>
                <w:sz w:val="20"/>
                <w:szCs w:val="20"/>
              </w:rPr>
              <w:t xml:space="preserve">ame </w:t>
            </w:r>
            <w:r w:rsidRPr="00D55671">
              <w:rPr>
                <w:sz w:val="20"/>
                <w:szCs w:val="20"/>
              </w:rPr>
              <w:t xml:space="preserve">premium structure will apply is stepped.  This is also appropriate </w:t>
            </w:r>
            <w:r w:rsidR="00E7558F" w:rsidRPr="00D55671">
              <w:rPr>
                <w:sz w:val="20"/>
                <w:szCs w:val="20"/>
              </w:rPr>
              <w:t>as death and linked to super</w:t>
            </w:r>
          </w:p>
          <w:p w14:paraId="7F16E10A" w14:textId="77777777" w:rsidR="009C334D" w:rsidRPr="00D55671" w:rsidRDefault="009C334D" w:rsidP="006012EB">
            <w:pPr>
              <w:rPr>
                <w:sz w:val="20"/>
                <w:szCs w:val="20"/>
              </w:rPr>
            </w:pPr>
          </w:p>
        </w:tc>
      </w:tr>
      <w:tr w:rsidR="009C334D" w14:paraId="69BC3B90" w14:textId="77777777" w:rsidTr="00C6738C">
        <w:tc>
          <w:tcPr>
            <w:tcW w:w="3827" w:type="dxa"/>
          </w:tcPr>
          <w:p w14:paraId="1F5C5227" w14:textId="77777777" w:rsidR="009C334D" w:rsidRPr="003B5585" w:rsidRDefault="009C334D" w:rsidP="006012EB">
            <w:pPr>
              <w:pStyle w:val="Heading2"/>
            </w:pPr>
            <w:r w:rsidRPr="003B5585">
              <w:t>Definitions</w:t>
            </w:r>
          </w:p>
        </w:tc>
        <w:tc>
          <w:tcPr>
            <w:tcW w:w="10915" w:type="dxa"/>
          </w:tcPr>
          <w:p w14:paraId="33C85412" w14:textId="77777777" w:rsidR="0080020E" w:rsidRPr="00D55671" w:rsidRDefault="007F5F00" w:rsidP="006012EB">
            <w:pPr>
              <w:rPr>
                <w:sz w:val="20"/>
                <w:szCs w:val="20"/>
              </w:rPr>
            </w:pPr>
            <w:r>
              <w:rPr>
                <w:sz w:val="20"/>
                <w:szCs w:val="20"/>
              </w:rPr>
              <w:t xml:space="preserve">We believe an ‘own occupation’ definition of TPD is important for </w:t>
            </w:r>
            <w:r w:rsidR="003902F1">
              <w:rPr>
                <w:sz w:val="20"/>
                <w:szCs w:val="20"/>
              </w:rPr>
              <w:t xml:space="preserve">many of </w:t>
            </w:r>
            <w:r>
              <w:rPr>
                <w:sz w:val="20"/>
                <w:szCs w:val="20"/>
              </w:rPr>
              <w:t>our clients.</w:t>
            </w:r>
            <w:r w:rsidR="003902F1">
              <w:rPr>
                <w:sz w:val="20"/>
                <w:szCs w:val="20"/>
              </w:rPr>
              <w:t xml:space="preserve"> Particularly the self-employed or those with very specific occupational roles.</w:t>
            </w:r>
          </w:p>
          <w:p w14:paraId="274E0F55" w14:textId="77777777" w:rsidR="009C334D" w:rsidRDefault="004A35E6" w:rsidP="007F5F00">
            <w:pPr>
              <w:rPr>
                <w:sz w:val="20"/>
                <w:szCs w:val="20"/>
              </w:rPr>
            </w:pPr>
            <w:r w:rsidRPr="00D55671">
              <w:rPr>
                <w:sz w:val="20"/>
                <w:szCs w:val="20"/>
              </w:rPr>
              <w:t xml:space="preserve">SIS restrictions </w:t>
            </w:r>
            <w:r w:rsidR="003902F1">
              <w:rPr>
                <w:sz w:val="20"/>
                <w:szCs w:val="20"/>
              </w:rPr>
              <w:t>only allow an ‘</w:t>
            </w:r>
            <w:r w:rsidRPr="00D55671">
              <w:rPr>
                <w:sz w:val="20"/>
                <w:szCs w:val="20"/>
              </w:rPr>
              <w:t>any occupation</w:t>
            </w:r>
            <w:r w:rsidR="003902F1">
              <w:rPr>
                <w:sz w:val="20"/>
                <w:szCs w:val="20"/>
              </w:rPr>
              <w:t>’</w:t>
            </w:r>
            <w:r w:rsidRPr="00D55671">
              <w:rPr>
                <w:sz w:val="20"/>
                <w:szCs w:val="20"/>
              </w:rPr>
              <w:t xml:space="preserve"> definition</w:t>
            </w:r>
            <w:r w:rsidR="007F5F00">
              <w:rPr>
                <w:sz w:val="20"/>
                <w:szCs w:val="20"/>
              </w:rPr>
              <w:t>, therefore we believ</w:t>
            </w:r>
            <w:r w:rsidR="003902F1">
              <w:rPr>
                <w:sz w:val="20"/>
                <w:szCs w:val="20"/>
              </w:rPr>
              <w:t>e</w:t>
            </w:r>
            <w:r w:rsidR="007F5F00">
              <w:rPr>
                <w:sz w:val="20"/>
                <w:szCs w:val="20"/>
              </w:rPr>
              <w:t xml:space="preserve"> the flexilink structure provide the best compromise between tax efficiency and being held outside of super. </w:t>
            </w:r>
          </w:p>
          <w:p w14:paraId="78AEECB8" w14:textId="77777777" w:rsidR="007F5F00" w:rsidRPr="00D55671" w:rsidRDefault="007F5F00" w:rsidP="007F5F00">
            <w:pPr>
              <w:rPr>
                <w:sz w:val="20"/>
                <w:szCs w:val="20"/>
              </w:rPr>
            </w:pPr>
          </w:p>
        </w:tc>
      </w:tr>
    </w:tbl>
    <w:p w14:paraId="7545F2BA" w14:textId="77777777" w:rsidR="004F5F5B" w:rsidRDefault="004F5F5B">
      <w:r>
        <w:rPr>
          <w:b/>
          <w:bCs/>
          <w:iCs/>
        </w:rPr>
        <w:br w:type="page"/>
      </w:r>
    </w:p>
    <w:tbl>
      <w:tblPr>
        <w:tblStyle w:val="TableGrid"/>
        <w:tblW w:w="14742" w:type="dxa"/>
        <w:tblInd w:w="279" w:type="dxa"/>
        <w:tblLook w:val="04A0" w:firstRow="1" w:lastRow="0" w:firstColumn="1" w:lastColumn="0" w:noHBand="0" w:noVBand="1"/>
      </w:tblPr>
      <w:tblGrid>
        <w:gridCol w:w="3827"/>
        <w:gridCol w:w="10915"/>
      </w:tblGrid>
      <w:tr w:rsidR="009C334D" w14:paraId="5CD96A58" w14:textId="77777777" w:rsidTr="00C6738C">
        <w:tc>
          <w:tcPr>
            <w:tcW w:w="3827" w:type="dxa"/>
          </w:tcPr>
          <w:p w14:paraId="177DCD99" w14:textId="77777777" w:rsidR="009C334D" w:rsidRPr="003B5585" w:rsidRDefault="009C334D" w:rsidP="006012EB">
            <w:pPr>
              <w:pStyle w:val="Heading2"/>
            </w:pPr>
            <w:r w:rsidRPr="003B5585">
              <w:lastRenderedPageBreak/>
              <w:t>Product features</w:t>
            </w:r>
          </w:p>
          <w:p w14:paraId="50451C28" w14:textId="77777777" w:rsidR="009C334D" w:rsidRPr="003B5585" w:rsidRDefault="009C334D" w:rsidP="006012EB">
            <w:pPr>
              <w:pStyle w:val="Heading2"/>
            </w:pPr>
          </w:p>
        </w:tc>
        <w:tc>
          <w:tcPr>
            <w:tcW w:w="10915" w:type="dxa"/>
          </w:tcPr>
          <w:p w14:paraId="2C37AA97" w14:textId="77777777" w:rsidR="00E7558F" w:rsidRPr="007F5F00" w:rsidRDefault="003902F1" w:rsidP="006012EB">
            <w:pPr>
              <w:rPr>
                <w:sz w:val="20"/>
                <w:szCs w:val="20"/>
              </w:rPr>
            </w:pPr>
            <w:r>
              <w:rPr>
                <w:sz w:val="20"/>
                <w:szCs w:val="20"/>
              </w:rPr>
              <w:t>Super linking</w:t>
            </w:r>
          </w:p>
          <w:p w14:paraId="6E983B91" w14:textId="77777777" w:rsidR="009C334D" w:rsidRDefault="00E7558F" w:rsidP="006012EB">
            <w:pPr>
              <w:rPr>
                <w:sz w:val="20"/>
                <w:szCs w:val="20"/>
              </w:rPr>
            </w:pPr>
            <w:r w:rsidRPr="007F5F00">
              <w:rPr>
                <w:sz w:val="20"/>
                <w:szCs w:val="20"/>
              </w:rPr>
              <w:t>G</w:t>
            </w:r>
            <w:r w:rsidR="00BB4BBB">
              <w:rPr>
                <w:sz w:val="20"/>
                <w:szCs w:val="20"/>
              </w:rPr>
              <w:t>uaranteed</w:t>
            </w:r>
            <w:r w:rsidRPr="007F5F00">
              <w:rPr>
                <w:sz w:val="20"/>
                <w:szCs w:val="20"/>
              </w:rPr>
              <w:t xml:space="preserve"> renewability</w:t>
            </w:r>
          </w:p>
          <w:p w14:paraId="61322C46" w14:textId="0E00ED54" w:rsidR="00592A7E" w:rsidRPr="007F5F00" w:rsidRDefault="009065FA" w:rsidP="006012EB">
            <w:pPr>
              <w:rPr>
                <w:sz w:val="20"/>
                <w:szCs w:val="20"/>
              </w:rPr>
            </w:pPr>
            <w:r>
              <w:rPr>
                <w:sz w:val="20"/>
                <w:szCs w:val="20"/>
              </w:rPr>
              <w:t>Buy Back</w:t>
            </w:r>
          </w:p>
        </w:tc>
      </w:tr>
      <w:tr w:rsidR="009C334D" w14:paraId="16D5F7CC" w14:textId="77777777" w:rsidTr="00C6738C">
        <w:tc>
          <w:tcPr>
            <w:tcW w:w="3827" w:type="dxa"/>
          </w:tcPr>
          <w:p w14:paraId="1BD1A7E9" w14:textId="77777777" w:rsidR="009C334D" w:rsidRPr="003B5585" w:rsidRDefault="009C334D" w:rsidP="006012EB">
            <w:pPr>
              <w:pStyle w:val="Heading2"/>
            </w:pPr>
            <w:r w:rsidRPr="003B5585">
              <w:t>Sum insured methodology</w:t>
            </w:r>
          </w:p>
          <w:p w14:paraId="5523455F" w14:textId="77777777" w:rsidR="009C334D" w:rsidRPr="003B5585" w:rsidRDefault="009C334D" w:rsidP="006012EB">
            <w:pPr>
              <w:pStyle w:val="Heading2"/>
            </w:pPr>
          </w:p>
        </w:tc>
        <w:tc>
          <w:tcPr>
            <w:tcW w:w="10915" w:type="dxa"/>
          </w:tcPr>
          <w:p w14:paraId="45294266" w14:textId="77777777" w:rsidR="00BB4BBB" w:rsidRPr="00C473D9" w:rsidRDefault="00BB4BBB" w:rsidP="00BB4BBB">
            <w:pPr>
              <w:rPr>
                <w:sz w:val="20"/>
                <w:szCs w:val="20"/>
              </w:rPr>
            </w:pPr>
            <w:r w:rsidRPr="00C473D9">
              <w:rPr>
                <w:sz w:val="20"/>
                <w:szCs w:val="20"/>
              </w:rPr>
              <w:t>Generally all deductible</w:t>
            </w:r>
            <w:r>
              <w:rPr>
                <w:sz w:val="20"/>
                <w:szCs w:val="20"/>
              </w:rPr>
              <w:t xml:space="preserve"> </w:t>
            </w:r>
            <w:r w:rsidRPr="00C473D9">
              <w:rPr>
                <w:sz w:val="20"/>
                <w:szCs w:val="20"/>
              </w:rPr>
              <w:t>debts will be cleared.</w:t>
            </w:r>
          </w:p>
          <w:p w14:paraId="5AE52AAE" w14:textId="77777777" w:rsidR="00BB4BBB" w:rsidRPr="00C473D9" w:rsidRDefault="00BB4BBB" w:rsidP="00BB4BBB">
            <w:pPr>
              <w:rPr>
                <w:sz w:val="20"/>
                <w:szCs w:val="20"/>
              </w:rPr>
            </w:pPr>
            <w:r w:rsidRPr="00C473D9">
              <w:rPr>
                <w:sz w:val="20"/>
                <w:szCs w:val="20"/>
              </w:rPr>
              <w:t>Inve</w:t>
            </w:r>
            <w:r>
              <w:rPr>
                <w:sz w:val="20"/>
                <w:szCs w:val="20"/>
              </w:rPr>
              <w:t>s</w:t>
            </w:r>
            <w:r w:rsidRPr="00C473D9">
              <w:rPr>
                <w:sz w:val="20"/>
                <w:szCs w:val="20"/>
              </w:rPr>
              <w:t xml:space="preserve">tment loans other </w:t>
            </w:r>
            <w:r>
              <w:rPr>
                <w:sz w:val="20"/>
                <w:szCs w:val="20"/>
              </w:rPr>
              <w:t xml:space="preserve">non-deductible debt </w:t>
            </w:r>
            <w:r w:rsidRPr="00C473D9">
              <w:rPr>
                <w:sz w:val="20"/>
                <w:szCs w:val="20"/>
              </w:rPr>
              <w:t>will be discussed with the clients.</w:t>
            </w:r>
          </w:p>
          <w:p w14:paraId="24A33712" w14:textId="77777777" w:rsidR="00BB4BBB" w:rsidRPr="00C473D9" w:rsidRDefault="00BB4BBB" w:rsidP="00BB4BBB">
            <w:pPr>
              <w:rPr>
                <w:sz w:val="20"/>
                <w:szCs w:val="20"/>
              </w:rPr>
            </w:pPr>
            <w:r>
              <w:rPr>
                <w:sz w:val="20"/>
                <w:szCs w:val="20"/>
              </w:rPr>
              <w:t>To replace the income lost as a result of disablement</w:t>
            </w:r>
            <w:r w:rsidR="00D76131">
              <w:rPr>
                <w:sz w:val="20"/>
                <w:szCs w:val="20"/>
              </w:rPr>
              <w:t xml:space="preserve"> we </w:t>
            </w:r>
            <w:r w:rsidRPr="00C473D9">
              <w:rPr>
                <w:sz w:val="20"/>
                <w:szCs w:val="20"/>
              </w:rPr>
              <w:t>cover</w:t>
            </w:r>
            <w:r w:rsidR="00D76131">
              <w:rPr>
                <w:sz w:val="20"/>
                <w:szCs w:val="20"/>
              </w:rPr>
              <w:t xml:space="preserve"> t</w:t>
            </w:r>
            <w:r w:rsidRPr="00C473D9">
              <w:rPr>
                <w:sz w:val="20"/>
                <w:szCs w:val="20"/>
              </w:rPr>
              <w:t>he net househol</w:t>
            </w:r>
            <w:r>
              <w:rPr>
                <w:sz w:val="20"/>
                <w:szCs w:val="20"/>
              </w:rPr>
              <w:t>d</w:t>
            </w:r>
            <w:r w:rsidRPr="00C473D9">
              <w:rPr>
                <w:sz w:val="20"/>
                <w:szCs w:val="20"/>
              </w:rPr>
              <w:t xml:space="preserve"> income less </w:t>
            </w:r>
            <w:r>
              <w:rPr>
                <w:sz w:val="20"/>
                <w:szCs w:val="20"/>
              </w:rPr>
              <w:t>allowance for cleared</w:t>
            </w:r>
            <w:r w:rsidRPr="00C473D9">
              <w:rPr>
                <w:sz w:val="20"/>
                <w:szCs w:val="20"/>
              </w:rPr>
              <w:t xml:space="preserve"> debt</w:t>
            </w:r>
            <w:r>
              <w:rPr>
                <w:sz w:val="20"/>
                <w:szCs w:val="20"/>
              </w:rPr>
              <w:t xml:space="preserve"> repayments and taking into account any income replacement insurance</w:t>
            </w:r>
            <w:r w:rsidRPr="00C473D9">
              <w:rPr>
                <w:sz w:val="20"/>
                <w:szCs w:val="20"/>
              </w:rPr>
              <w:t>.</w:t>
            </w:r>
          </w:p>
          <w:p w14:paraId="2484698F" w14:textId="77777777" w:rsidR="00BB4BBB" w:rsidRPr="00C473D9" w:rsidRDefault="00BB4BBB" w:rsidP="00BB4BBB">
            <w:pPr>
              <w:rPr>
                <w:sz w:val="20"/>
                <w:szCs w:val="20"/>
              </w:rPr>
            </w:pPr>
            <w:r>
              <w:rPr>
                <w:sz w:val="20"/>
                <w:szCs w:val="20"/>
              </w:rPr>
              <w:t xml:space="preserve">Income will be provided for a period until </w:t>
            </w:r>
            <w:r w:rsidRPr="00C473D9">
              <w:rPr>
                <w:sz w:val="20"/>
                <w:szCs w:val="20"/>
              </w:rPr>
              <w:t xml:space="preserve">retirement age </w:t>
            </w:r>
            <w:r>
              <w:rPr>
                <w:sz w:val="20"/>
                <w:szCs w:val="20"/>
              </w:rPr>
              <w:t xml:space="preserve">as we continue to work to this goal with clients. </w:t>
            </w:r>
            <w:r w:rsidR="00592A7E">
              <w:rPr>
                <w:sz w:val="20"/>
                <w:szCs w:val="20"/>
              </w:rPr>
              <w:t>As a result of this the sum insured will not take into account the current superannuation balance.</w:t>
            </w:r>
          </w:p>
          <w:p w14:paraId="06D25963" w14:textId="77777777" w:rsidR="009C334D" w:rsidRDefault="00BB4BBB" w:rsidP="006012EB">
            <w:pPr>
              <w:rPr>
                <w:sz w:val="20"/>
                <w:szCs w:val="20"/>
              </w:rPr>
            </w:pPr>
            <w:r>
              <w:rPr>
                <w:sz w:val="20"/>
                <w:szCs w:val="20"/>
              </w:rPr>
              <w:t xml:space="preserve">Future expenses such as medical, rehabilitation or refurbished costs will be discussed with reference </w:t>
            </w:r>
            <w:r w:rsidR="00D76131">
              <w:rPr>
                <w:sz w:val="20"/>
                <w:szCs w:val="20"/>
              </w:rPr>
              <w:t>to</w:t>
            </w:r>
            <w:r>
              <w:rPr>
                <w:sz w:val="20"/>
                <w:szCs w:val="20"/>
              </w:rPr>
              <w:t xml:space="preserve"> </w:t>
            </w:r>
            <w:r w:rsidR="00D76131">
              <w:rPr>
                <w:sz w:val="20"/>
                <w:szCs w:val="20"/>
              </w:rPr>
              <w:t>t</w:t>
            </w:r>
            <w:r>
              <w:rPr>
                <w:sz w:val="20"/>
                <w:szCs w:val="20"/>
              </w:rPr>
              <w:t>he Count sum insured guide.</w:t>
            </w:r>
          </w:p>
          <w:p w14:paraId="4EBBD48D" w14:textId="77777777" w:rsidR="00BB4BBB" w:rsidRPr="007F5F00" w:rsidRDefault="00BB4BBB" w:rsidP="006012EB">
            <w:pPr>
              <w:rPr>
                <w:sz w:val="20"/>
                <w:szCs w:val="20"/>
              </w:rPr>
            </w:pPr>
          </w:p>
        </w:tc>
      </w:tr>
    </w:tbl>
    <w:p w14:paraId="29900708" w14:textId="77777777" w:rsidR="009C334D" w:rsidRDefault="009C334D">
      <w:pPr>
        <w:spacing w:before="0" w:after="0" w:line="240" w:lineRule="auto"/>
      </w:pPr>
      <w:r>
        <w:br w:type="page"/>
      </w:r>
    </w:p>
    <w:p w14:paraId="156A810C" w14:textId="77777777" w:rsidR="005724B9" w:rsidRDefault="009C334D" w:rsidP="009C334D">
      <w:pPr>
        <w:pStyle w:val="Heading1"/>
      </w:pPr>
      <w:r>
        <w:lastRenderedPageBreak/>
        <w:t>TRAUMA COVER</w:t>
      </w:r>
    </w:p>
    <w:p w14:paraId="31E5533F" w14:textId="77777777" w:rsidR="00592A7E" w:rsidRPr="00592A7E" w:rsidRDefault="00592A7E" w:rsidP="00592A7E"/>
    <w:tbl>
      <w:tblPr>
        <w:tblStyle w:val="TableGrid"/>
        <w:tblW w:w="14742" w:type="dxa"/>
        <w:tblInd w:w="279" w:type="dxa"/>
        <w:tblLook w:val="04A0" w:firstRow="1" w:lastRow="0" w:firstColumn="1" w:lastColumn="0" w:noHBand="0" w:noVBand="1"/>
      </w:tblPr>
      <w:tblGrid>
        <w:gridCol w:w="3827"/>
        <w:gridCol w:w="10915"/>
      </w:tblGrid>
      <w:tr w:rsidR="009C334D" w14:paraId="3B329B19" w14:textId="77777777" w:rsidTr="00C6738C">
        <w:tc>
          <w:tcPr>
            <w:tcW w:w="3827" w:type="dxa"/>
          </w:tcPr>
          <w:p w14:paraId="45B75FF8" w14:textId="77777777" w:rsidR="009C334D" w:rsidRPr="00DF1AB1" w:rsidRDefault="009C334D" w:rsidP="006012EB">
            <w:pPr>
              <w:pStyle w:val="Heading2"/>
              <w:rPr>
                <w:szCs w:val="20"/>
              </w:rPr>
            </w:pPr>
            <w:r w:rsidRPr="00DF1AB1">
              <w:rPr>
                <w:szCs w:val="20"/>
              </w:rPr>
              <w:t>Ownership &amp; structure</w:t>
            </w:r>
          </w:p>
          <w:p w14:paraId="26E97CE5" w14:textId="77777777" w:rsidR="009C334D" w:rsidRPr="00DF1AB1" w:rsidRDefault="009C334D" w:rsidP="006012EB">
            <w:pPr>
              <w:pStyle w:val="Heading2"/>
              <w:rPr>
                <w:szCs w:val="20"/>
              </w:rPr>
            </w:pPr>
          </w:p>
        </w:tc>
        <w:tc>
          <w:tcPr>
            <w:tcW w:w="10915" w:type="dxa"/>
          </w:tcPr>
          <w:p w14:paraId="666921D3" w14:textId="77777777" w:rsidR="009C334D" w:rsidRPr="00DF1AB1" w:rsidRDefault="00592A7E" w:rsidP="006012EB">
            <w:pPr>
              <w:rPr>
                <w:sz w:val="20"/>
                <w:szCs w:val="20"/>
              </w:rPr>
            </w:pPr>
            <w:r w:rsidRPr="00DF1AB1">
              <w:rPr>
                <w:sz w:val="20"/>
                <w:szCs w:val="20"/>
              </w:rPr>
              <w:t>Will be self owned and self funded.</w:t>
            </w:r>
          </w:p>
          <w:p w14:paraId="6A43842D" w14:textId="77777777" w:rsidR="009C334D" w:rsidRPr="00DF1AB1" w:rsidRDefault="009C334D" w:rsidP="006012EB">
            <w:pPr>
              <w:rPr>
                <w:sz w:val="20"/>
                <w:szCs w:val="20"/>
              </w:rPr>
            </w:pPr>
          </w:p>
        </w:tc>
      </w:tr>
      <w:tr w:rsidR="009C334D" w14:paraId="0A38FFD4" w14:textId="77777777" w:rsidTr="00C6738C">
        <w:tc>
          <w:tcPr>
            <w:tcW w:w="3827" w:type="dxa"/>
          </w:tcPr>
          <w:p w14:paraId="1F74E560" w14:textId="77777777" w:rsidR="009C334D" w:rsidRPr="00DF1AB1" w:rsidRDefault="009C334D" w:rsidP="006012EB">
            <w:pPr>
              <w:pStyle w:val="Heading2"/>
              <w:rPr>
                <w:szCs w:val="20"/>
              </w:rPr>
            </w:pPr>
            <w:r w:rsidRPr="00DF1AB1">
              <w:rPr>
                <w:szCs w:val="20"/>
              </w:rPr>
              <w:t>Premium style</w:t>
            </w:r>
          </w:p>
          <w:p w14:paraId="62905ECD" w14:textId="77777777" w:rsidR="009C334D" w:rsidRPr="00DF1AB1" w:rsidRDefault="009C334D" w:rsidP="006012EB">
            <w:pPr>
              <w:pStyle w:val="Heading2"/>
              <w:rPr>
                <w:szCs w:val="20"/>
              </w:rPr>
            </w:pPr>
          </w:p>
        </w:tc>
        <w:tc>
          <w:tcPr>
            <w:tcW w:w="10915" w:type="dxa"/>
          </w:tcPr>
          <w:p w14:paraId="5791D0E3" w14:textId="77777777" w:rsidR="009C334D" w:rsidRPr="00DF1AB1" w:rsidRDefault="003C7A26" w:rsidP="006012EB">
            <w:pPr>
              <w:rPr>
                <w:sz w:val="20"/>
                <w:szCs w:val="20"/>
              </w:rPr>
            </w:pPr>
            <w:r w:rsidRPr="00DF1AB1">
              <w:rPr>
                <w:sz w:val="20"/>
                <w:szCs w:val="20"/>
              </w:rPr>
              <w:t>Level</w:t>
            </w:r>
            <w:r w:rsidR="00592A7E" w:rsidRPr="00DF1AB1">
              <w:rPr>
                <w:sz w:val="20"/>
                <w:szCs w:val="20"/>
              </w:rPr>
              <w:t xml:space="preserve"> premiums are considered optimum to ensure that premiums remain most affordable when the insurance is most required. </w:t>
            </w:r>
          </w:p>
          <w:p w14:paraId="10077C52" w14:textId="77777777" w:rsidR="009C334D" w:rsidRPr="00DF1AB1" w:rsidRDefault="009C334D" w:rsidP="006012EB">
            <w:pPr>
              <w:rPr>
                <w:sz w:val="20"/>
                <w:szCs w:val="20"/>
              </w:rPr>
            </w:pPr>
          </w:p>
        </w:tc>
      </w:tr>
      <w:tr w:rsidR="009C334D" w14:paraId="52F53ADE" w14:textId="77777777" w:rsidTr="00C6738C">
        <w:tc>
          <w:tcPr>
            <w:tcW w:w="3827" w:type="dxa"/>
          </w:tcPr>
          <w:p w14:paraId="47BB17AB" w14:textId="77777777" w:rsidR="009C334D" w:rsidRPr="00DF1AB1" w:rsidRDefault="009C334D" w:rsidP="006012EB">
            <w:pPr>
              <w:pStyle w:val="Heading2"/>
              <w:rPr>
                <w:szCs w:val="20"/>
              </w:rPr>
            </w:pPr>
            <w:r w:rsidRPr="00DF1AB1">
              <w:rPr>
                <w:szCs w:val="20"/>
              </w:rPr>
              <w:t>Definitions</w:t>
            </w:r>
          </w:p>
        </w:tc>
        <w:tc>
          <w:tcPr>
            <w:tcW w:w="10915" w:type="dxa"/>
          </w:tcPr>
          <w:p w14:paraId="6F87E90A" w14:textId="77777777" w:rsidR="009C334D" w:rsidRPr="00DF1AB1" w:rsidRDefault="00592A7E" w:rsidP="006012EB">
            <w:pPr>
              <w:rPr>
                <w:sz w:val="20"/>
                <w:szCs w:val="20"/>
              </w:rPr>
            </w:pPr>
            <w:r w:rsidRPr="00DF1AB1">
              <w:rPr>
                <w:sz w:val="20"/>
                <w:szCs w:val="20"/>
              </w:rPr>
              <w:t>We believe that ‘p</w:t>
            </w:r>
            <w:r w:rsidR="003C7A26" w:rsidRPr="00DF1AB1">
              <w:rPr>
                <w:sz w:val="20"/>
                <w:szCs w:val="20"/>
              </w:rPr>
              <w:t>lus</w:t>
            </w:r>
            <w:r w:rsidRPr="00DF1AB1">
              <w:rPr>
                <w:sz w:val="20"/>
                <w:szCs w:val="20"/>
              </w:rPr>
              <w:t>’ policies will provide better cover for clients and ensure they are covered for events they think they are covered for.</w:t>
            </w:r>
            <w:r w:rsidR="00DF1AB1" w:rsidRPr="00DF1AB1">
              <w:rPr>
                <w:sz w:val="20"/>
                <w:szCs w:val="20"/>
              </w:rPr>
              <w:t xml:space="preserve"> This will ensure that no d</w:t>
            </w:r>
            <w:r w:rsidR="003C7A26" w:rsidRPr="00DF1AB1">
              <w:rPr>
                <w:sz w:val="20"/>
                <w:szCs w:val="20"/>
              </w:rPr>
              <w:t>isaapoitments</w:t>
            </w:r>
            <w:r w:rsidR="00DF1AB1" w:rsidRPr="00DF1AB1">
              <w:rPr>
                <w:sz w:val="20"/>
                <w:szCs w:val="20"/>
              </w:rPr>
              <w:t xml:space="preserve"> due to narrow definitions apply for conditions such as melanoma.</w:t>
            </w:r>
          </w:p>
          <w:p w14:paraId="4C041061" w14:textId="77777777" w:rsidR="009C334D" w:rsidRPr="00DF1AB1" w:rsidRDefault="009C334D" w:rsidP="006012EB">
            <w:pPr>
              <w:rPr>
                <w:sz w:val="20"/>
                <w:szCs w:val="20"/>
              </w:rPr>
            </w:pPr>
          </w:p>
        </w:tc>
      </w:tr>
      <w:tr w:rsidR="009C334D" w14:paraId="79175569" w14:textId="77777777" w:rsidTr="00C6738C">
        <w:tc>
          <w:tcPr>
            <w:tcW w:w="3827" w:type="dxa"/>
          </w:tcPr>
          <w:p w14:paraId="24E04A7D" w14:textId="77777777" w:rsidR="009C334D" w:rsidRPr="00DF1AB1" w:rsidRDefault="009C334D" w:rsidP="006012EB">
            <w:pPr>
              <w:pStyle w:val="Heading2"/>
              <w:rPr>
                <w:szCs w:val="20"/>
              </w:rPr>
            </w:pPr>
            <w:r w:rsidRPr="00DF1AB1">
              <w:rPr>
                <w:szCs w:val="20"/>
              </w:rPr>
              <w:t>Product features</w:t>
            </w:r>
          </w:p>
          <w:p w14:paraId="4B967035" w14:textId="77777777" w:rsidR="009C334D" w:rsidRPr="00DF1AB1" w:rsidRDefault="009C334D" w:rsidP="006012EB">
            <w:pPr>
              <w:pStyle w:val="Heading2"/>
              <w:rPr>
                <w:szCs w:val="20"/>
              </w:rPr>
            </w:pPr>
          </w:p>
        </w:tc>
        <w:tc>
          <w:tcPr>
            <w:tcW w:w="10915" w:type="dxa"/>
          </w:tcPr>
          <w:p w14:paraId="655B7014" w14:textId="77777777" w:rsidR="009C334D" w:rsidRPr="00DF1AB1" w:rsidRDefault="003C7A26" w:rsidP="006012EB">
            <w:pPr>
              <w:rPr>
                <w:sz w:val="20"/>
                <w:szCs w:val="20"/>
              </w:rPr>
            </w:pPr>
            <w:r w:rsidRPr="00DF1AB1">
              <w:rPr>
                <w:sz w:val="20"/>
                <w:szCs w:val="20"/>
              </w:rPr>
              <w:t>G</w:t>
            </w:r>
            <w:r w:rsidR="00DF1AB1">
              <w:rPr>
                <w:sz w:val="20"/>
                <w:szCs w:val="20"/>
              </w:rPr>
              <w:t>uaranteed insurability</w:t>
            </w:r>
          </w:p>
          <w:p w14:paraId="7FE78C66" w14:textId="77777777" w:rsidR="003C7A26" w:rsidRDefault="004B244B" w:rsidP="006012EB">
            <w:pPr>
              <w:rPr>
                <w:sz w:val="20"/>
                <w:szCs w:val="20"/>
              </w:rPr>
            </w:pPr>
            <w:r>
              <w:rPr>
                <w:sz w:val="20"/>
                <w:szCs w:val="20"/>
              </w:rPr>
              <w:t>Buy back</w:t>
            </w:r>
          </w:p>
          <w:p w14:paraId="71021CCA" w14:textId="77777777" w:rsidR="009C334D" w:rsidRPr="00DF1AB1" w:rsidRDefault="004B244B" w:rsidP="006012EB">
            <w:pPr>
              <w:rPr>
                <w:sz w:val="20"/>
                <w:szCs w:val="20"/>
              </w:rPr>
            </w:pPr>
            <w:r>
              <w:rPr>
                <w:sz w:val="20"/>
                <w:szCs w:val="20"/>
              </w:rPr>
              <w:t>Re-instatement</w:t>
            </w:r>
          </w:p>
        </w:tc>
      </w:tr>
      <w:tr w:rsidR="009C334D" w14:paraId="0FBA5B98" w14:textId="77777777" w:rsidTr="00C6738C">
        <w:tc>
          <w:tcPr>
            <w:tcW w:w="3827" w:type="dxa"/>
          </w:tcPr>
          <w:p w14:paraId="0F3489DE" w14:textId="77777777" w:rsidR="009C334D" w:rsidRPr="00DF1AB1" w:rsidRDefault="009C334D" w:rsidP="006012EB">
            <w:pPr>
              <w:pStyle w:val="Heading2"/>
              <w:rPr>
                <w:szCs w:val="20"/>
              </w:rPr>
            </w:pPr>
            <w:r w:rsidRPr="00DF1AB1">
              <w:rPr>
                <w:szCs w:val="20"/>
              </w:rPr>
              <w:t>Sum insured methodology</w:t>
            </w:r>
          </w:p>
          <w:p w14:paraId="6D99D2B3" w14:textId="77777777" w:rsidR="009C334D" w:rsidRPr="00DF1AB1" w:rsidRDefault="009C334D" w:rsidP="006012EB">
            <w:pPr>
              <w:pStyle w:val="Heading2"/>
              <w:rPr>
                <w:szCs w:val="20"/>
              </w:rPr>
            </w:pPr>
          </w:p>
        </w:tc>
        <w:tc>
          <w:tcPr>
            <w:tcW w:w="10915" w:type="dxa"/>
          </w:tcPr>
          <w:p w14:paraId="4135210D" w14:textId="77777777" w:rsidR="003C7A26" w:rsidRPr="00DF1AB1" w:rsidRDefault="003C7A26" w:rsidP="006012EB">
            <w:pPr>
              <w:rPr>
                <w:sz w:val="20"/>
                <w:szCs w:val="20"/>
              </w:rPr>
            </w:pPr>
            <w:r w:rsidRPr="00DF1AB1">
              <w:rPr>
                <w:sz w:val="20"/>
                <w:szCs w:val="20"/>
              </w:rPr>
              <w:t>Debt payment</w:t>
            </w:r>
            <w:r w:rsidR="00DF1AB1">
              <w:rPr>
                <w:sz w:val="20"/>
                <w:szCs w:val="20"/>
              </w:rPr>
              <w:t xml:space="preserve"> will be provided for a period of </w:t>
            </w:r>
            <w:r w:rsidRPr="00DF1AB1">
              <w:rPr>
                <w:sz w:val="20"/>
                <w:szCs w:val="20"/>
              </w:rPr>
              <w:t>2 years</w:t>
            </w:r>
          </w:p>
          <w:p w14:paraId="2E41CBA9" w14:textId="77777777" w:rsidR="00DF1AB1" w:rsidRDefault="003C7A26" w:rsidP="006012EB">
            <w:pPr>
              <w:rPr>
                <w:sz w:val="20"/>
                <w:szCs w:val="20"/>
              </w:rPr>
            </w:pPr>
            <w:r w:rsidRPr="00DF1AB1">
              <w:rPr>
                <w:sz w:val="20"/>
                <w:szCs w:val="20"/>
              </w:rPr>
              <w:t>Gross househ</w:t>
            </w:r>
            <w:r w:rsidR="00DF1AB1">
              <w:rPr>
                <w:sz w:val="20"/>
                <w:szCs w:val="20"/>
              </w:rPr>
              <w:t xml:space="preserve">old income </w:t>
            </w:r>
            <w:r w:rsidRPr="00DF1AB1">
              <w:rPr>
                <w:sz w:val="20"/>
                <w:szCs w:val="20"/>
              </w:rPr>
              <w:t xml:space="preserve">less </w:t>
            </w:r>
            <w:r w:rsidR="00DF1AB1">
              <w:rPr>
                <w:sz w:val="20"/>
                <w:szCs w:val="20"/>
              </w:rPr>
              <w:t>provision for debt repayment and any applicable income protection that would apply.</w:t>
            </w:r>
          </w:p>
          <w:p w14:paraId="2D2EE75D" w14:textId="77777777" w:rsidR="003C7A26" w:rsidRPr="00DF1AB1" w:rsidRDefault="003C7A26" w:rsidP="006012EB">
            <w:pPr>
              <w:rPr>
                <w:sz w:val="20"/>
                <w:szCs w:val="20"/>
              </w:rPr>
            </w:pPr>
            <w:r w:rsidRPr="00DF1AB1">
              <w:rPr>
                <w:sz w:val="20"/>
                <w:szCs w:val="20"/>
              </w:rPr>
              <w:t xml:space="preserve">Fixed care costs </w:t>
            </w:r>
            <w:r w:rsidR="00F2069D">
              <w:rPr>
                <w:sz w:val="20"/>
                <w:szCs w:val="20"/>
              </w:rPr>
              <w:t xml:space="preserve">for children may apply depending on whether income insurance protection applies and clients attitude to child care. </w:t>
            </w:r>
          </w:p>
          <w:p w14:paraId="7B6EB3DF" w14:textId="4BA95278" w:rsidR="003C7A26" w:rsidRPr="00DF1AB1" w:rsidRDefault="00F2069D" w:rsidP="006012EB">
            <w:pPr>
              <w:rPr>
                <w:sz w:val="20"/>
                <w:szCs w:val="20"/>
              </w:rPr>
            </w:pPr>
            <w:r>
              <w:rPr>
                <w:sz w:val="20"/>
                <w:szCs w:val="20"/>
              </w:rPr>
              <w:t>For these costs and f</w:t>
            </w:r>
            <w:r w:rsidR="003C7A26" w:rsidRPr="00DF1AB1">
              <w:rPr>
                <w:sz w:val="20"/>
                <w:szCs w:val="20"/>
              </w:rPr>
              <w:t xml:space="preserve">ixed medical </w:t>
            </w:r>
            <w:r>
              <w:rPr>
                <w:sz w:val="20"/>
                <w:szCs w:val="20"/>
              </w:rPr>
              <w:t>costs we wi</w:t>
            </w:r>
            <w:r w:rsidR="009065FA">
              <w:rPr>
                <w:sz w:val="20"/>
                <w:szCs w:val="20"/>
              </w:rPr>
              <w:t xml:space="preserve">ll </w:t>
            </w:r>
            <w:r>
              <w:rPr>
                <w:sz w:val="20"/>
                <w:szCs w:val="20"/>
              </w:rPr>
              <w:t xml:space="preserve">consult with client choose an appropriate </w:t>
            </w:r>
            <w:r w:rsidR="009065FA">
              <w:rPr>
                <w:sz w:val="20"/>
                <w:szCs w:val="20"/>
              </w:rPr>
              <w:t>amount</w:t>
            </w:r>
            <w:r>
              <w:rPr>
                <w:sz w:val="20"/>
                <w:szCs w:val="20"/>
              </w:rPr>
              <w:t>.</w:t>
            </w:r>
          </w:p>
          <w:p w14:paraId="60F77117" w14:textId="77777777" w:rsidR="009C334D" w:rsidRPr="00DF1AB1" w:rsidRDefault="009C334D" w:rsidP="006012EB">
            <w:pPr>
              <w:rPr>
                <w:sz w:val="20"/>
                <w:szCs w:val="20"/>
              </w:rPr>
            </w:pPr>
          </w:p>
        </w:tc>
      </w:tr>
    </w:tbl>
    <w:p w14:paraId="7B58A0B2" w14:textId="77777777" w:rsidR="009C334D" w:rsidRDefault="009C334D" w:rsidP="00356B18"/>
    <w:p w14:paraId="1219BBA3" w14:textId="77777777" w:rsidR="009C334D" w:rsidRDefault="009C334D">
      <w:pPr>
        <w:spacing w:before="0" w:after="0" w:line="240" w:lineRule="auto"/>
      </w:pPr>
      <w:r>
        <w:br w:type="page"/>
      </w:r>
    </w:p>
    <w:p w14:paraId="00401025" w14:textId="77777777" w:rsidR="009C334D" w:rsidRDefault="009C334D" w:rsidP="009C334D">
      <w:pPr>
        <w:pStyle w:val="Heading1"/>
      </w:pPr>
      <w:r>
        <w:lastRenderedPageBreak/>
        <w:t>INCOME PROTECTION</w:t>
      </w:r>
    </w:p>
    <w:p w14:paraId="34B80A33" w14:textId="77777777" w:rsidR="00F2069D" w:rsidRPr="00F2069D" w:rsidRDefault="00F2069D" w:rsidP="00F2069D"/>
    <w:tbl>
      <w:tblPr>
        <w:tblStyle w:val="TableGrid"/>
        <w:tblW w:w="14742" w:type="dxa"/>
        <w:tblInd w:w="279" w:type="dxa"/>
        <w:tblLook w:val="04A0" w:firstRow="1" w:lastRow="0" w:firstColumn="1" w:lastColumn="0" w:noHBand="0" w:noVBand="1"/>
      </w:tblPr>
      <w:tblGrid>
        <w:gridCol w:w="3827"/>
        <w:gridCol w:w="10915"/>
      </w:tblGrid>
      <w:tr w:rsidR="009C334D" w14:paraId="65FA8B90" w14:textId="77777777" w:rsidTr="00C6738C">
        <w:tc>
          <w:tcPr>
            <w:tcW w:w="3827" w:type="dxa"/>
          </w:tcPr>
          <w:p w14:paraId="136C0732" w14:textId="77777777" w:rsidR="009C334D" w:rsidRPr="003B5585" w:rsidRDefault="009C334D" w:rsidP="006012EB">
            <w:pPr>
              <w:pStyle w:val="Heading2"/>
            </w:pPr>
            <w:r w:rsidRPr="003B5585">
              <w:t>Ownership &amp; structure</w:t>
            </w:r>
          </w:p>
          <w:p w14:paraId="325CC1A9" w14:textId="77777777" w:rsidR="009C334D" w:rsidRPr="003B5585" w:rsidRDefault="009C334D" w:rsidP="006012EB">
            <w:pPr>
              <w:pStyle w:val="Heading2"/>
            </w:pPr>
          </w:p>
        </w:tc>
        <w:tc>
          <w:tcPr>
            <w:tcW w:w="10915" w:type="dxa"/>
          </w:tcPr>
          <w:p w14:paraId="2B7E4896" w14:textId="77777777" w:rsidR="003C7A26" w:rsidRPr="004F5F5B" w:rsidRDefault="003C7A26" w:rsidP="006012EB">
            <w:pPr>
              <w:rPr>
                <w:sz w:val="20"/>
                <w:szCs w:val="20"/>
              </w:rPr>
            </w:pPr>
            <w:r w:rsidRPr="004F5F5B">
              <w:rPr>
                <w:sz w:val="20"/>
                <w:szCs w:val="20"/>
              </w:rPr>
              <w:t>G</w:t>
            </w:r>
            <w:r w:rsidR="00F2069D" w:rsidRPr="004F5F5B">
              <w:rPr>
                <w:sz w:val="20"/>
                <w:szCs w:val="20"/>
              </w:rPr>
              <w:t>e</w:t>
            </w:r>
            <w:r w:rsidRPr="004F5F5B">
              <w:rPr>
                <w:sz w:val="20"/>
                <w:szCs w:val="20"/>
              </w:rPr>
              <w:t xml:space="preserve">nerally </w:t>
            </w:r>
            <w:r w:rsidR="00F2069D" w:rsidRPr="004F5F5B">
              <w:rPr>
                <w:sz w:val="20"/>
                <w:szCs w:val="20"/>
              </w:rPr>
              <w:t xml:space="preserve">income protection will be recommended </w:t>
            </w:r>
            <w:r w:rsidRPr="004F5F5B">
              <w:rPr>
                <w:sz w:val="20"/>
                <w:szCs w:val="20"/>
              </w:rPr>
              <w:t xml:space="preserve">outside </w:t>
            </w:r>
            <w:r w:rsidR="00F2069D" w:rsidRPr="004F5F5B">
              <w:rPr>
                <w:sz w:val="20"/>
                <w:szCs w:val="20"/>
              </w:rPr>
              <w:t>of super b</w:t>
            </w:r>
            <w:r w:rsidRPr="004F5F5B">
              <w:rPr>
                <w:sz w:val="20"/>
                <w:szCs w:val="20"/>
              </w:rPr>
              <w:t>ecause</w:t>
            </w:r>
            <w:r w:rsidR="00F2069D" w:rsidRPr="004F5F5B">
              <w:rPr>
                <w:sz w:val="20"/>
                <w:szCs w:val="20"/>
              </w:rPr>
              <w:t xml:space="preserve"> there is no SIS restrictions and there are much better </w:t>
            </w:r>
            <w:r w:rsidRPr="004F5F5B">
              <w:rPr>
                <w:sz w:val="20"/>
                <w:szCs w:val="20"/>
              </w:rPr>
              <w:t>ancillary benefits</w:t>
            </w:r>
            <w:r w:rsidR="00F2069D" w:rsidRPr="004F5F5B">
              <w:rPr>
                <w:sz w:val="20"/>
                <w:szCs w:val="20"/>
              </w:rPr>
              <w:t xml:space="preserve"> and product features to choose from</w:t>
            </w:r>
            <w:r w:rsidRPr="004F5F5B">
              <w:rPr>
                <w:sz w:val="20"/>
                <w:szCs w:val="20"/>
              </w:rPr>
              <w:t>.</w:t>
            </w:r>
          </w:p>
          <w:p w14:paraId="26B37451" w14:textId="77777777" w:rsidR="003C7A26" w:rsidRPr="004F5F5B" w:rsidRDefault="00F2069D" w:rsidP="006012EB">
            <w:pPr>
              <w:rPr>
                <w:sz w:val="20"/>
                <w:szCs w:val="20"/>
              </w:rPr>
            </w:pPr>
            <w:r w:rsidRPr="004F5F5B">
              <w:rPr>
                <w:sz w:val="20"/>
                <w:szCs w:val="20"/>
              </w:rPr>
              <w:t>It is e</w:t>
            </w:r>
            <w:r w:rsidR="003C7A26" w:rsidRPr="004F5F5B">
              <w:rPr>
                <w:sz w:val="20"/>
                <w:szCs w:val="20"/>
              </w:rPr>
              <w:t xml:space="preserve">qually </w:t>
            </w:r>
            <w:r w:rsidRPr="004F5F5B">
              <w:rPr>
                <w:sz w:val="20"/>
                <w:szCs w:val="20"/>
              </w:rPr>
              <w:t xml:space="preserve">tax </w:t>
            </w:r>
            <w:r w:rsidR="003C7A26" w:rsidRPr="004F5F5B">
              <w:rPr>
                <w:sz w:val="20"/>
                <w:szCs w:val="20"/>
              </w:rPr>
              <w:t>efficient</w:t>
            </w:r>
            <w:r w:rsidRPr="004F5F5B">
              <w:rPr>
                <w:sz w:val="20"/>
                <w:szCs w:val="20"/>
              </w:rPr>
              <w:t xml:space="preserve"> as premiums are generally tax deductible to clients.</w:t>
            </w:r>
          </w:p>
          <w:p w14:paraId="4D820863" w14:textId="77777777" w:rsidR="003C7A26" w:rsidRPr="004F5F5B" w:rsidRDefault="003C7A26" w:rsidP="006012EB">
            <w:pPr>
              <w:rPr>
                <w:sz w:val="20"/>
                <w:szCs w:val="20"/>
              </w:rPr>
            </w:pPr>
            <w:r w:rsidRPr="004F5F5B">
              <w:rPr>
                <w:sz w:val="20"/>
                <w:szCs w:val="20"/>
              </w:rPr>
              <w:t>Sometimes flexi link</w:t>
            </w:r>
            <w:r w:rsidR="00F2069D" w:rsidRPr="004F5F5B">
              <w:rPr>
                <w:sz w:val="20"/>
                <w:szCs w:val="20"/>
              </w:rPr>
              <w:t xml:space="preserve"> may be appropriate or held ins</w:t>
            </w:r>
            <w:r w:rsidRPr="004F5F5B">
              <w:rPr>
                <w:sz w:val="20"/>
                <w:szCs w:val="20"/>
              </w:rPr>
              <w:t xml:space="preserve">ide </w:t>
            </w:r>
            <w:r w:rsidR="00F2069D" w:rsidRPr="004F5F5B">
              <w:rPr>
                <w:sz w:val="20"/>
                <w:szCs w:val="20"/>
              </w:rPr>
              <w:t>super as a last resort due to cashflow restrictions.</w:t>
            </w:r>
          </w:p>
          <w:p w14:paraId="1088AA50" w14:textId="77777777" w:rsidR="009C334D" w:rsidRDefault="009C334D" w:rsidP="006012EB"/>
        </w:tc>
      </w:tr>
      <w:tr w:rsidR="009C334D" w:rsidRPr="004F5F5B" w14:paraId="2D1D0B50" w14:textId="77777777" w:rsidTr="00C6738C">
        <w:tc>
          <w:tcPr>
            <w:tcW w:w="3827" w:type="dxa"/>
          </w:tcPr>
          <w:p w14:paraId="57C8FE9C" w14:textId="77777777" w:rsidR="009C334D" w:rsidRPr="004F5F5B" w:rsidRDefault="009C334D" w:rsidP="006012EB">
            <w:pPr>
              <w:pStyle w:val="Heading2"/>
              <w:rPr>
                <w:szCs w:val="20"/>
              </w:rPr>
            </w:pPr>
            <w:r w:rsidRPr="004F5F5B">
              <w:rPr>
                <w:szCs w:val="20"/>
              </w:rPr>
              <w:t>Premium style</w:t>
            </w:r>
          </w:p>
          <w:p w14:paraId="54DC84B5" w14:textId="77777777" w:rsidR="009C334D" w:rsidRPr="004F5F5B" w:rsidRDefault="009C334D" w:rsidP="006012EB">
            <w:pPr>
              <w:pStyle w:val="Heading2"/>
              <w:rPr>
                <w:szCs w:val="20"/>
              </w:rPr>
            </w:pPr>
          </w:p>
        </w:tc>
        <w:tc>
          <w:tcPr>
            <w:tcW w:w="10915" w:type="dxa"/>
          </w:tcPr>
          <w:p w14:paraId="2ADBEC05" w14:textId="476A2CB9" w:rsidR="00F2069D" w:rsidRPr="004F5F5B" w:rsidRDefault="009065FA" w:rsidP="006012EB">
            <w:pPr>
              <w:rPr>
                <w:sz w:val="20"/>
                <w:szCs w:val="20"/>
              </w:rPr>
            </w:pPr>
            <w:r>
              <w:rPr>
                <w:sz w:val="20"/>
                <w:szCs w:val="20"/>
              </w:rPr>
              <w:t>Level</w:t>
            </w:r>
            <w:r w:rsidR="003C7A26" w:rsidRPr="004F5F5B">
              <w:rPr>
                <w:sz w:val="20"/>
                <w:szCs w:val="20"/>
              </w:rPr>
              <w:t xml:space="preserve"> </w:t>
            </w:r>
            <w:r w:rsidR="00F2069D" w:rsidRPr="004F5F5B">
              <w:rPr>
                <w:sz w:val="20"/>
                <w:szCs w:val="20"/>
              </w:rPr>
              <w:t xml:space="preserve">premiums will be recommended </w:t>
            </w:r>
            <w:r w:rsidR="003C7A26" w:rsidRPr="004F5F5B">
              <w:rPr>
                <w:sz w:val="20"/>
                <w:szCs w:val="20"/>
              </w:rPr>
              <w:t xml:space="preserve">due to </w:t>
            </w:r>
            <w:r w:rsidR="00F2069D" w:rsidRPr="004F5F5B">
              <w:rPr>
                <w:sz w:val="20"/>
                <w:szCs w:val="20"/>
              </w:rPr>
              <w:t>the long term nature of the debt and the long period of cover.</w:t>
            </w:r>
          </w:p>
          <w:p w14:paraId="51FA549B" w14:textId="77777777" w:rsidR="003C7A26" w:rsidRPr="004F5F5B" w:rsidRDefault="00F2069D" w:rsidP="006012EB">
            <w:pPr>
              <w:rPr>
                <w:sz w:val="20"/>
                <w:szCs w:val="20"/>
              </w:rPr>
            </w:pPr>
            <w:r w:rsidRPr="004F5F5B">
              <w:rPr>
                <w:sz w:val="20"/>
                <w:szCs w:val="20"/>
              </w:rPr>
              <w:t>However, we will always co</w:t>
            </w:r>
            <w:r w:rsidR="003C7A26" w:rsidRPr="004F5F5B">
              <w:rPr>
                <w:sz w:val="20"/>
                <w:szCs w:val="20"/>
              </w:rPr>
              <w:t xml:space="preserve">nsider </w:t>
            </w:r>
            <w:r w:rsidRPr="004F5F5B">
              <w:rPr>
                <w:sz w:val="20"/>
                <w:szCs w:val="20"/>
              </w:rPr>
              <w:t xml:space="preserve">the </w:t>
            </w:r>
            <w:r w:rsidR="003C7A26" w:rsidRPr="004F5F5B">
              <w:rPr>
                <w:sz w:val="20"/>
                <w:szCs w:val="20"/>
              </w:rPr>
              <w:t>break analysis</w:t>
            </w:r>
            <w:r w:rsidRPr="004F5F5B">
              <w:rPr>
                <w:sz w:val="20"/>
                <w:szCs w:val="20"/>
              </w:rPr>
              <w:t xml:space="preserve"> of stepped vs level.</w:t>
            </w:r>
          </w:p>
          <w:p w14:paraId="0B8CA184" w14:textId="77777777" w:rsidR="009C334D" w:rsidRPr="004F5F5B" w:rsidRDefault="009C334D" w:rsidP="006012EB">
            <w:pPr>
              <w:rPr>
                <w:sz w:val="20"/>
                <w:szCs w:val="20"/>
              </w:rPr>
            </w:pPr>
          </w:p>
        </w:tc>
      </w:tr>
      <w:tr w:rsidR="009C334D" w:rsidRPr="004F5F5B" w14:paraId="7F13D1E8" w14:textId="77777777" w:rsidTr="00C6738C">
        <w:tc>
          <w:tcPr>
            <w:tcW w:w="3827" w:type="dxa"/>
          </w:tcPr>
          <w:p w14:paraId="4E47C50B" w14:textId="77777777" w:rsidR="009C334D" w:rsidRPr="004F5F5B" w:rsidRDefault="009C334D" w:rsidP="006012EB">
            <w:pPr>
              <w:pStyle w:val="Heading2"/>
              <w:rPr>
                <w:szCs w:val="20"/>
              </w:rPr>
            </w:pPr>
            <w:r w:rsidRPr="004F5F5B">
              <w:rPr>
                <w:szCs w:val="20"/>
              </w:rPr>
              <w:t>Definitions</w:t>
            </w:r>
          </w:p>
        </w:tc>
        <w:tc>
          <w:tcPr>
            <w:tcW w:w="10915" w:type="dxa"/>
          </w:tcPr>
          <w:p w14:paraId="325F0DB0" w14:textId="77777777" w:rsidR="003C7A26" w:rsidRPr="004F5F5B" w:rsidRDefault="003C7A26" w:rsidP="006012EB">
            <w:pPr>
              <w:rPr>
                <w:sz w:val="20"/>
                <w:szCs w:val="20"/>
              </w:rPr>
            </w:pPr>
            <w:r w:rsidRPr="004F5F5B">
              <w:rPr>
                <w:sz w:val="20"/>
                <w:szCs w:val="20"/>
              </w:rPr>
              <w:t xml:space="preserve">Agreed (endorsed) </w:t>
            </w:r>
            <w:r w:rsidR="00F2069D" w:rsidRPr="004F5F5B">
              <w:rPr>
                <w:sz w:val="20"/>
                <w:szCs w:val="20"/>
              </w:rPr>
              <w:t xml:space="preserve">is </w:t>
            </w:r>
            <w:r w:rsidRPr="004F5F5B">
              <w:rPr>
                <w:sz w:val="20"/>
                <w:szCs w:val="20"/>
              </w:rPr>
              <w:t>most</w:t>
            </w:r>
            <w:r w:rsidR="00F2069D" w:rsidRPr="004F5F5B">
              <w:rPr>
                <w:sz w:val="20"/>
                <w:szCs w:val="20"/>
              </w:rPr>
              <w:t xml:space="preserve"> suitable for s</w:t>
            </w:r>
            <w:r w:rsidRPr="004F5F5B">
              <w:rPr>
                <w:sz w:val="20"/>
                <w:szCs w:val="20"/>
              </w:rPr>
              <w:t>e</w:t>
            </w:r>
            <w:r w:rsidR="00F2069D" w:rsidRPr="004F5F5B">
              <w:rPr>
                <w:sz w:val="20"/>
                <w:szCs w:val="20"/>
              </w:rPr>
              <w:t>l</w:t>
            </w:r>
            <w:r w:rsidR="004F5F5B">
              <w:rPr>
                <w:sz w:val="20"/>
                <w:szCs w:val="20"/>
              </w:rPr>
              <w:t>f-</w:t>
            </w:r>
            <w:r w:rsidRPr="004F5F5B">
              <w:rPr>
                <w:sz w:val="20"/>
                <w:szCs w:val="20"/>
              </w:rPr>
              <w:t>emplo</w:t>
            </w:r>
            <w:r w:rsidR="00F2069D" w:rsidRPr="004F5F5B">
              <w:rPr>
                <w:sz w:val="20"/>
                <w:szCs w:val="20"/>
              </w:rPr>
              <w:t>y</w:t>
            </w:r>
            <w:r w:rsidRPr="004F5F5B">
              <w:rPr>
                <w:sz w:val="20"/>
                <w:szCs w:val="20"/>
              </w:rPr>
              <w:t>ed</w:t>
            </w:r>
            <w:r w:rsidR="004F5F5B">
              <w:rPr>
                <w:sz w:val="20"/>
                <w:szCs w:val="20"/>
              </w:rPr>
              <w:t xml:space="preserve"> clients to provide certainty of cover.</w:t>
            </w:r>
          </w:p>
          <w:p w14:paraId="039CF8DA" w14:textId="77777777" w:rsidR="009C334D" w:rsidRDefault="004F5F5B" w:rsidP="006012EB">
            <w:pPr>
              <w:rPr>
                <w:sz w:val="20"/>
                <w:szCs w:val="20"/>
              </w:rPr>
            </w:pPr>
            <w:r>
              <w:rPr>
                <w:sz w:val="20"/>
                <w:szCs w:val="20"/>
              </w:rPr>
              <w:t>Indemnity may be appropriate for those clients who cannot get ‘own occupation’ or salaried employees on unchanging income.</w:t>
            </w:r>
          </w:p>
          <w:p w14:paraId="3803637D" w14:textId="77777777" w:rsidR="004F5F5B" w:rsidRPr="004F5F5B" w:rsidRDefault="004F5F5B" w:rsidP="006012EB">
            <w:pPr>
              <w:rPr>
                <w:sz w:val="20"/>
                <w:szCs w:val="20"/>
              </w:rPr>
            </w:pPr>
            <w:r>
              <w:rPr>
                <w:sz w:val="20"/>
                <w:szCs w:val="20"/>
              </w:rPr>
              <w:t>‘Plus’ policies are also preferred where cashflow allows.</w:t>
            </w:r>
          </w:p>
          <w:p w14:paraId="750C9743" w14:textId="77777777" w:rsidR="009C334D" w:rsidRPr="004F5F5B" w:rsidRDefault="009C334D" w:rsidP="006012EB">
            <w:pPr>
              <w:rPr>
                <w:sz w:val="20"/>
                <w:szCs w:val="20"/>
              </w:rPr>
            </w:pPr>
          </w:p>
        </w:tc>
      </w:tr>
      <w:tr w:rsidR="009C334D" w:rsidRPr="004F5F5B" w14:paraId="1C9FA6E4" w14:textId="77777777" w:rsidTr="00C6738C">
        <w:tc>
          <w:tcPr>
            <w:tcW w:w="3827" w:type="dxa"/>
          </w:tcPr>
          <w:p w14:paraId="3668B921" w14:textId="77777777" w:rsidR="009C334D" w:rsidRPr="004F5F5B" w:rsidRDefault="009C334D" w:rsidP="006012EB">
            <w:pPr>
              <w:pStyle w:val="Heading2"/>
              <w:rPr>
                <w:szCs w:val="20"/>
              </w:rPr>
            </w:pPr>
            <w:r w:rsidRPr="004F5F5B">
              <w:rPr>
                <w:szCs w:val="20"/>
              </w:rPr>
              <w:t>Product features</w:t>
            </w:r>
          </w:p>
          <w:p w14:paraId="6A92E69A" w14:textId="77777777" w:rsidR="009C334D" w:rsidRPr="004F5F5B" w:rsidRDefault="009C334D" w:rsidP="006012EB">
            <w:pPr>
              <w:pStyle w:val="Heading2"/>
              <w:rPr>
                <w:szCs w:val="20"/>
              </w:rPr>
            </w:pPr>
          </w:p>
        </w:tc>
        <w:tc>
          <w:tcPr>
            <w:tcW w:w="10915" w:type="dxa"/>
          </w:tcPr>
          <w:p w14:paraId="20A583F4" w14:textId="77777777" w:rsidR="009C334D" w:rsidRPr="004F5F5B" w:rsidRDefault="00E7558F" w:rsidP="006012EB">
            <w:pPr>
              <w:rPr>
                <w:sz w:val="20"/>
                <w:szCs w:val="20"/>
              </w:rPr>
            </w:pPr>
            <w:r w:rsidRPr="004F5F5B">
              <w:rPr>
                <w:sz w:val="20"/>
                <w:szCs w:val="20"/>
              </w:rPr>
              <w:t>Superannuation contrition benefit</w:t>
            </w:r>
          </w:p>
          <w:p w14:paraId="08C3F199" w14:textId="77777777" w:rsidR="00E7558F" w:rsidRPr="004F5F5B" w:rsidRDefault="00EB48B8" w:rsidP="006012EB">
            <w:pPr>
              <w:rPr>
                <w:sz w:val="20"/>
                <w:szCs w:val="20"/>
              </w:rPr>
            </w:pPr>
            <w:r w:rsidRPr="004F5F5B">
              <w:rPr>
                <w:sz w:val="20"/>
                <w:szCs w:val="20"/>
              </w:rPr>
              <w:t>30 days but d</w:t>
            </w:r>
            <w:r w:rsidR="004F5F5B">
              <w:rPr>
                <w:sz w:val="20"/>
                <w:szCs w:val="20"/>
              </w:rPr>
              <w:t>e</w:t>
            </w:r>
            <w:r w:rsidRPr="004F5F5B">
              <w:rPr>
                <w:sz w:val="20"/>
                <w:szCs w:val="20"/>
              </w:rPr>
              <w:t>pends on sick leave an employer conditions</w:t>
            </w:r>
          </w:p>
          <w:p w14:paraId="601838C5" w14:textId="285D4EE5" w:rsidR="00EB48B8" w:rsidRPr="004F5F5B" w:rsidRDefault="00EB48B8" w:rsidP="006012EB">
            <w:pPr>
              <w:rPr>
                <w:sz w:val="20"/>
                <w:szCs w:val="20"/>
              </w:rPr>
            </w:pPr>
            <w:r w:rsidRPr="004F5F5B">
              <w:rPr>
                <w:sz w:val="20"/>
                <w:szCs w:val="20"/>
              </w:rPr>
              <w:t xml:space="preserve">Benefit period </w:t>
            </w:r>
            <w:r w:rsidR="009065FA">
              <w:rPr>
                <w:sz w:val="20"/>
                <w:szCs w:val="20"/>
              </w:rPr>
              <w:t>5 years minimum</w:t>
            </w:r>
            <w:r w:rsidRPr="004F5F5B">
              <w:rPr>
                <w:sz w:val="20"/>
                <w:szCs w:val="20"/>
              </w:rPr>
              <w:t xml:space="preserve"> or </w:t>
            </w:r>
            <w:r w:rsidR="009065FA">
              <w:rPr>
                <w:sz w:val="20"/>
                <w:szCs w:val="20"/>
              </w:rPr>
              <w:t>a</w:t>
            </w:r>
            <w:r w:rsidRPr="004F5F5B">
              <w:rPr>
                <w:sz w:val="20"/>
                <w:szCs w:val="20"/>
              </w:rPr>
              <w:t>ge</w:t>
            </w:r>
            <w:r w:rsidR="009065FA">
              <w:rPr>
                <w:sz w:val="20"/>
                <w:szCs w:val="20"/>
              </w:rPr>
              <w:t xml:space="preserve"> 65 depending on premiums.</w:t>
            </w:r>
          </w:p>
          <w:p w14:paraId="1C46D4A1" w14:textId="37579D6B" w:rsidR="009C334D" w:rsidRPr="004F5F5B" w:rsidRDefault="009C334D" w:rsidP="006012EB">
            <w:pPr>
              <w:rPr>
                <w:sz w:val="20"/>
                <w:szCs w:val="20"/>
              </w:rPr>
            </w:pPr>
          </w:p>
          <w:p w14:paraId="6457F004" w14:textId="77777777" w:rsidR="009C334D" w:rsidRPr="004F5F5B" w:rsidRDefault="009C334D" w:rsidP="006012EB">
            <w:pPr>
              <w:rPr>
                <w:sz w:val="20"/>
                <w:szCs w:val="20"/>
              </w:rPr>
            </w:pPr>
          </w:p>
        </w:tc>
      </w:tr>
      <w:tr w:rsidR="009C334D" w:rsidRPr="004F5F5B" w14:paraId="59F1F1FC" w14:textId="77777777" w:rsidTr="00C6738C">
        <w:tc>
          <w:tcPr>
            <w:tcW w:w="3827" w:type="dxa"/>
          </w:tcPr>
          <w:p w14:paraId="33D23FB6" w14:textId="77777777" w:rsidR="009C334D" w:rsidRPr="004F5F5B" w:rsidRDefault="009C334D" w:rsidP="006012EB">
            <w:pPr>
              <w:pStyle w:val="Heading2"/>
              <w:rPr>
                <w:szCs w:val="20"/>
              </w:rPr>
            </w:pPr>
            <w:r w:rsidRPr="004F5F5B">
              <w:rPr>
                <w:szCs w:val="20"/>
              </w:rPr>
              <w:t>Sum insured methodology</w:t>
            </w:r>
          </w:p>
          <w:p w14:paraId="23E2FC84" w14:textId="77777777" w:rsidR="009C334D" w:rsidRPr="004F5F5B" w:rsidRDefault="009C334D" w:rsidP="006012EB">
            <w:pPr>
              <w:pStyle w:val="Heading2"/>
              <w:rPr>
                <w:szCs w:val="20"/>
              </w:rPr>
            </w:pPr>
          </w:p>
        </w:tc>
        <w:tc>
          <w:tcPr>
            <w:tcW w:w="10915" w:type="dxa"/>
          </w:tcPr>
          <w:p w14:paraId="55FE0DCC" w14:textId="071DFE52" w:rsidR="004F5F5B" w:rsidRPr="004F5F5B" w:rsidRDefault="004F5F5B" w:rsidP="004F5F5B">
            <w:pPr>
              <w:rPr>
                <w:sz w:val="20"/>
                <w:szCs w:val="20"/>
              </w:rPr>
            </w:pPr>
            <w:r w:rsidRPr="004F5F5B">
              <w:rPr>
                <w:sz w:val="20"/>
                <w:szCs w:val="20"/>
              </w:rPr>
              <w:t>7</w:t>
            </w:r>
            <w:r w:rsidR="009065FA">
              <w:rPr>
                <w:sz w:val="20"/>
                <w:szCs w:val="20"/>
              </w:rPr>
              <w:t>0</w:t>
            </w:r>
            <w:r w:rsidRPr="004F5F5B">
              <w:rPr>
                <w:sz w:val="20"/>
                <w:szCs w:val="20"/>
              </w:rPr>
              <w:t>% of the first $320,000 (plus SG)</w:t>
            </w:r>
          </w:p>
          <w:p w14:paraId="0E642DA5" w14:textId="77777777" w:rsidR="004F5F5B" w:rsidRPr="004F5F5B" w:rsidRDefault="004F5F5B" w:rsidP="004F5F5B">
            <w:pPr>
              <w:rPr>
                <w:sz w:val="20"/>
                <w:szCs w:val="20"/>
              </w:rPr>
            </w:pPr>
            <w:r w:rsidRPr="004F5F5B">
              <w:rPr>
                <w:sz w:val="20"/>
                <w:szCs w:val="20"/>
              </w:rPr>
              <w:t>50% of the next $240,000</w:t>
            </w:r>
          </w:p>
          <w:p w14:paraId="3437C0F3" w14:textId="576FE06B" w:rsidR="009C334D" w:rsidRPr="004F5F5B" w:rsidRDefault="004F5F5B" w:rsidP="004F5F5B">
            <w:pPr>
              <w:rPr>
                <w:sz w:val="20"/>
                <w:szCs w:val="20"/>
              </w:rPr>
            </w:pPr>
            <w:r w:rsidRPr="004F5F5B">
              <w:rPr>
                <w:sz w:val="20"/>
                <w:szCs w:val="20"/>
              </w:rPr>
              <w:t>20% of anything over $560,000</w:t>
            </w:r>
          </w:p>
        </w:tc>
      </w:tr>
    </w:tbl>
    <w:p w14:paraId="31DD23DE" w14:textId="77777777" w:rsidR="009C334D" w:rsidRPr="009C334D" w:rsidRDefault="009C334D" w:rsidP="009C334D"/>
    <w:sectPr w:rsidR="009C334D" w:rsidRPr="009C334D" w:rsidSect="005E331C">
      <w:headerReference w:type="default" r:id="rId9"/>
      <w:footerReference w:type="default" r:id="rId10"/>
      <w:headerReference w:type="first" r:id="rId11"/>
      <w:footerReference w:type="first" r:id="rId12"/>
      <w:footnotePr>
        <w:pos w:val="beneathText"/>
      </w:footnotePr>
      <w:type w:val="continuous"/>
      <w:pgSz w:w="16838" w:h="11906" w:orient="landscape" w:code="9"/>
      <w:pgMar w:top="851" w:right="567" w:bottom="567" w:left="567" w:header="284" w:footer="28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85F2" w14:textId="77777777" w:rsidR="00896C94" w:rsidRDefault="00896C94">
      <w:r>
        <w:separator/>
      </w:r>
    </w:p>
  </w:endnote>
  <w:endnote w:type="continuationSeparator" w:id="0">
    <w:p w14:paraId="42E2E572" w14:textId="77777777" w:rsidR="00896C94" w:rsidRDefault="0089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6E8" w14:textId="77777777" w:rsidR="001B4717" w:rsidRDefault="001B4717" w:rsidP="001B47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AE4C" w14:textId="77777777" w:rsidR="001B4717" w:rsidRDefault="001B4717" w:rsidP="001B471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54AC" w14:textId="77777777" w:rsidR="00FC4B98" w:rsidRDefault="00FC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B800" w14:textId="77777777" w:rsidR="00896C94" w:rsidRDefault="00896C94">
      <w:r>
        <w:separator/>
      </w:r>
    </w:p>
  </w:footnote>
  <w:footnote w:type="continuationSeparator" w:id="0">
    <w:p w14:paraId="5C55C6BD" w14:textId="77777777" w:rsidR="00896C94" w:rsidRDefault="0089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15EC" w14:textId="77777777" w:rsidR="001B4717" w:rsidRDefault="001B4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97A7" w14:textId="77777777" w:rsidR="00FC4B98" w:rsidRDefault="00FC4B98">
    <w:pPr>
      <w:pStyle w:val="Header"/>
    </w:pPr>
    <w:r>
      <w:rPr>
        <w:noProof/>
        <w:lang w:eastAsia="en-AU"/>
      </w:rPr>
      <w:drawing>
        <wp:anchor distT="0" distB="0" distL="114300" distR="114300" simplePos="0" relativeHeight="251654656" behindDoc="1" locked="0" layoutInCell="0" allowOverlap="1" wp14:anchorId="408956A3" wp14:editId="6FCD904A">
          <wp:simplePos x="0" y="0"/>
          <wp:positionH relativeFrom="page">
            <wp:posOffset>5760720</wp:posOffset>
          </wp:positionH>
          <wp:positionV relativeFrom="page">
            <wp:posOffset>360045</wp:posOffset>
          </wp:positionV>
          <wp:extent cx="1440000" cy="392400"/>
          <wp:effectExtent l="0" t="0" r="0" b="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_landscape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A0EE20"/>
    <w:lvl w:ilvl="0">
      <w:start w:val="1"/>
      <w:numFmt w:val="bullet"/>
      <w:lvlText w:val=""/>
      <w:lvlJc w:val="left"/>
      <w:pPr>
        <w:ind w:left="360" w:hanging="360"/>
      </w:pPr>
      <w:rPr>
        <w:rFonts w:ascii="Symbol" w:hAnsi="Symbol" w:hint="default"/>
        <w:color w:val="91B2C4" w:themeColor="accent2"/>
        <w:sz w:val="18"/>
      </w:rPr>
    </w:lvl>
  </w:abstractNum>
  <w:abstractNum w:abstractNumId="1" w15:restartNumberingAfterBreak="0">
    <w:nsid w:val="0C030B38"/>
    <w:multiLevelType w:val="hybridMultilevel"/>
    <w:tmpl w:val="05BEA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3C69FE"/>
    <w:multiLevelType w:val="hybridMultilevel"/>
    <w:tmpl w:val="EDAC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B90E57"/>
    <w:multiLevelType w:val="hybridMultilevel"/>
    <w:tmpl w:val="C1F09BE0"/>
    <w:lvl w:ilvl="0" w:tplc="E6B66428">
      <w:start w:val="19"/>
      <w:numFmt w:val="bullet"/>
      <w:lvlText w:val="-"/>
      <w:lvlJc w:val="left"/>
      <w:pPr>
        <w:ind w:left="720" w:hanging="360"/>
      </w:pPr>
      <w:rPr>
        <w:rFonts w:ascii="Verdana" w:eastAsia="Cambria" w:hAnsi="Verdan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4B454C"/>
    <w:multiLevelType w:val="hybridMultilevel"/>
    <w:tmpl w:val="7794D04C"/>
    <w:lvl w:ilvl="0" w:tplc="7C14ABD0">
      <w:start w:val="1"/>
      <w:numFmt w:val="bullet"/>
      <w:pStyle w:val="ListBullet"/>
      <w:lvlText w:val=""/>
      <w:lvlJc w:val="left"/>
      <w:pPr>
        <w:ind w:left="360" w:hanging="360"/>
      </w:pPr>
      <w:rPr>
        <w:rFonts w:ascii="Symbol" w:hAnsi="Symbol" w:hint="default"/>
        <w:color w:val="F68B1F" w:themeColor="accent4"/>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521CE7"/>
    <w:multiLevelType w:val="hybridMultilevel"/>
    <w:tmpl w:val="F872C8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90739402">
    <w:abstractNumId w:val="2"/>
  </w:num>
  <w:num w:numId="2" w16cid:durableId="1629504154">
    <w:abstractNumId w:val="0"/>
  </w:num>
  <w:num w:numId="3" w16cid:durableId="842208834">
    <w:abstractNumId w:val="4"/>
  </w:num>
  <w:num w:numId="4" w16cid:durableId="408424174">
    <w:abstractNumId w:val="5"/>
  </w:num>
  <w:num w:numId="5" w16cid:durableId="277638320">
    <w:abstractNumId w:val="3"/>
  </w:num>
  <w:num w:numId="6" w16cid:durableId="85422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Counttable"/>
  <w:doNotShadeFormData/>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B2"/>
    <w:rsid w:val="000107E0"/>
    <w:rsid w:val="000356D3"/>
    <w:rsid w:val="00043E55"/>
    <w:rsid w:val="00051253"/>
    <w:rsid w:val="000921B7"/>
    <w:rsid w:val="00095A1F"/>
    <w:rsid w:val="00096692"/>
    <w:rsid w:val="000A2A27"/>
    <w:rsid w:val="000A5F74"/>
    <w:rsid w:val="000B2E04"/>
    <w:rsid w:val="000C1349"/>
    <w:rsid w:val="000C230D"/>
    <w:rsid w:val="000D5CF7"/>
    <w:rsid w:val="000D6B15"/>
    <w:rsid w:val="000F57A0"/>
    <w:rsid w:val="00125BB9"/>
    <w:rsid w:val="00126096"/>
    <w:rsid w:val="00126E76"/>
    <w:rsid w:val="00140D1E"/>
    <w:rsid w:val="001417D2"/>
    <w:rsid w:val="0015440A"/>
    <w:rsid w:val="00154B7D"/>
    <w:rsid w:val="00160B19"/>
    <w:rsid w:val="00166BD8"/>
    <w:rsid w:val="00176678"/>
    <w:rsid w:val="00176F91"/>
    <w:rsid w:val="0018331D"/>
    <w:rsid w:val="00187AEA"/>
    <w:rsid w:val="0019126E"/>
    <w:rsid w:val="001931E8"/>
    <w:rsid w:val="001A48F6"/>
    <w:rsid w:val="001B0589"/>
    <w:rsid w:val="001B4717"/>
    <w:rsid w:val="001D461D"/>
    <w:rsid w:val="00205FE0"/>
    <w:rsid w:val="00217B16"/>
    <w:rsid w:val="00220E13"/>
    <w:rsid w:val="00227E86"/>
    <w:rsid w:val="002366BC"/>
    <w:rsid w:val="0024171C"/>
    <w:rsid w:val="0024213A"/>
    <w:rsid w:val="00250525"/>
    <w:rsid w:val="00254F7F"/>
    <w:rsid w:val="0026368C"/>
    <w:rsid w:val="00263C06"/>
    <w:rsid w:val="00264D31"/>
    <w:rsid w:val="00291257"/>
    <w:rsid w:val="002961C8"/>
    <w:rsid w:val="002A2E59"/>
    <w:rsid w:val="002B5827"/>
    <w:rsid w:val="002C098C"/>
    <w:rsid w:val="002D5B18"/>
    <w:rsid w:val="002F0571"/>
    <w:rsid w:val="003463AB"/>
    <w:rsid w:val="00351AB1"/>
    <w:rsid w:val="00356B18"/>
    <w:rsid w:val="00356BE8"/>
    <w:rsid w:val="00363A7D"/>
    <w:rsid w:val="00374B11"/>
    <w:rsid w:val="003902F1"/>
    <w:rsid w:val="003A537C"/>
    <w:rsid w:val="003B2CD8"/>
    <w:rsid w:val="003C7A26"/>
    <w:rsid w:val="003D62B2"/>
    <w:rsid w:val="003E2B95"/>
    <w:rsid w:val="003E358F"/>
    <w:rsid w:val="003E38E1"/>
    <w:rsid w:val="003E41BC"/>
    <w:rsid w:val="003E55DC"/>
    <w:rsid w:val="003F45D9"/>
    <w:rsid w:val="00420CB2"/>
    <w:rsid w:val="00427751"/>
    <w:rsid w:val="00461B15"/>
    <w:rsid w:val="00466DBE"/>
    <w:rsid w:val="0049078F"/>
    <w:rsid w:val="004A35E6"/>
    <w:rsid w:val="004A3A8B"/>
    <w:rsid w:val="004B244B"/>
    <w:rsid w:val="004C1EB4"/>
    <w:rsid w:val="004E4458"/>
    <w:rsid w:val="004E735D"/>
    <w:rsid w:val="004F5F5B"/>
    <w:rsid w:val="004F6824"/>
    <w:rsid w:val="00514E00"/>
    <w:rsid w:val="00527F3A"/>
    <w:rsid w:val="00554450"/>
    <w:rsid w:val="005724B9"/>
    <w:rsid w:val="005816B1"/>
    <w:rsid w:val="00583B4C"/>
    <w:rsid w:val="00592A7E"/>
    <w:rsid w:val="005C6A6D"/>
    <w:rsid w:val="005E32CD"/>
    <w:rsid w:val="005E331C"/>
    <w:rsid w:val="00605E21"/>
    <w:rsid w:val="00617258"/>
    <w:rsid w:val="00631AC9"/>
    <w:rsid w:val="00637722"/>
    <w:rsid w:val="00654521"/>
    <w:rsid w:val="006623E1"/>
    <w:rsid w:val="00672177"/>
    <w:rsid w:val="00697E32"/>
    <w:rsid w:val="006C1BE9"/>
    <w:rsid w:val="006C3AC2"/>
    <w:rsid w:val="006C604E"/>
    <w:rsid w:val="006E560B"/>
    <w:rsid w:val="006E56E2"/>
    <w:rsid w:val="006E5DB9"/>
    <w:rsid w:val="006E6242"/>
    <w:rsid w:val="006F7FA0"/>
    <w:rsid w:val="00731C72"/>
    <w:rsid w:val="00736A18"/>
    <w:rsid w:val="00763201"/>
    <w:rsid w:val="00763DE4"/>
    <w:rsid w:val="0078309B"/>
    <w:rsid w:val="007A145F"/>
    <w:rsid w:val="007B1D51"/>
    <w:rsid w:val="007B463A"/>
    <w:rsid w:val="007D10C6"/>
    <w:rsid w:val="007D7C23"/>
    <w:rsid w:val="007F5F00"/>
    <w:rsid w:val="007F6767"/>
    <w:rsid w:val="0080020E"/>
    <w:rsid w:val="00822E73"/>
    <w:rsid w:val="0083042B"/>
    <w:rsid w:val="00856745"/>
    <w:rsid w:val="008609ED"/>
    <w:rsid w:val="00876B96"/>
    <w:rsid w:val="00896C94"/>
    <w:rsid w:val="008A5E5A"/>
    <w:rsid w:val="008A7DFB"/>
    <w:rsid w:val="008B3EA0"/>
    <w:rsid w:val="008B3FB8"/>
    <w:rsid w:val="008D2788"/>
    <w:rsid w:val="008D41F6"/>
    <w:rsid w:val="008E00F6"/>
    <w:rsid w:val="008F101A"/>
    <w:rsid w:val="009065FA"/>
    <w:rsid w:val="00907552"/>
    <w:rsid w:val="00916F03"/>
    <w:rsid w:val="009301C8"/>
    <w:rsid w:val="00954421"/>
    <w:rsid w:val="009564A7"/>
    <w:rsid w:val="00961EF7"/>
    <w:rsid w:val="00974C48"/>
    <w:rsid w:val="009837CC"/>
    <w:rsid w:val="00986EE3"/>
    <w:rsid w:val="009A386F"/>
    <w:rsid w:val="009B36E1"/>
    <w:rsid w:val="009B6592"/>
    <w:rsid w:val="009C0782"/>
    <w:rsid w:val="009C334D"/>
    <w:rsid w:val="009E61AC"/>
    <w:rsid w:val="009F71F1"/>
    <w:rsid w:val="009F75B7"/>
    <w:rsid w:val="00A01393"/>
    <w:rsid w:val="00A01C5B"/>
    <w:rsid w:val="00A0755F"/>
    <w:rsid w:val="00A43AA6"/>
    <w:rsid w:val="00A56CBF"/>
    <w:rsid w:val="00A66522"/>
    <w:rsid w:val="00A670AB"/>
    <w:rsid w:val="00A710D9"/>
    <w:rsid w:val="00A718D6"/>
    <w:rsid w:val="00A735AC"/>
    <w:rsid w:val="00A81B63"/>
    <w:rsid w:val="00A9075E"/>
    <w:rsid w:val="00A92C60"/>
    <w:rsid w:val="00A942A8"/>
    <w:rsid w:val="00AF4F10"/>
    <w:rsid w:val="00AF6E99"/>
    <w:rsid w:val="00B1185A"/>
    <w:rsid w:val="00B12DB3"/>
    <w:rsid w:val="00B52B3B"/>
    <w:rsid w:val="00B72AD7"/>
    <w:rsid w:val="00B8353F"/>
    <w:rsid w:val="00B87317"/>
    <w:rsid w:val="00B91AE6"/>
    <w:rsid w:val="00B92F5A"/>
    <w:rsid w:val="00B933C7"/>
    <w:rsid w:val="00BA27FB"/>
    <w:rsid w:val="00BA2EC6"/>
    <w:rsid w:val="00BA5627"/>
    <w:rsid w:val="00BB1E4E"/>
    <w:rsid w:val="00BB4BBB"/>
    <w:rsid w:val="00BC1A8D"/>
    <w:rsid w:val="00BD256F"/>
    <w:rsid w:val="00BE3AE4"/>
    <w:rsid w:val="00C062A9"/>
    <w:rsid w:val="00C06929"/>
    <w:rsid w:val="00C11A1C"/>
    <w:rsid w:val="00C20C81"/>
    <w:rsid w:val="00C33852"/>
    <w:rsid w:val="00C473D9"/>
    <w:rsid w:val="00C54AD8"/>
    <w:rsid w:val="00C6699F"/>
    <w:rsid w:val="00C6738C"/>
    <w:rsid w:val="00C80556"/>
    <w:rsid w:val="00C9038B"/>
    <w:rsid w:val="00C93055"/>
    <w:rsid w:val="00CA15BA"/>
    <w:rsid w:val="00CB765C"/>
    <w:rsid w:val="00CD0683"/>
    <w:rsid w:val="00CE118A"/>
    <w:rsid w:val="00CE1EE9"/>
    <w:rsid w:val="00CF424B"/>
    <w:rsid w:val="00D124CE"/>
    <w:rsid w:val="00D14BB3"/>
    <w:rsid w:val="00D23013"/>
    <w:rsid w:val="00D23627"/>
    <w:rsid w:val="00D410CE"/>
    <w:rsid w:val="00D5331A"/>
    <w:rsid w:val="00D55671"/>
    <w:rsid w:val="00D71E0B"/>
    <w:rsid w:val="00D7323E"/>
    <w:rsid w:val="00D76131"/>
    <w:rsid w:val="00D87CD5"/>
    <w:rsid w:val="00D91888"/>
    <w:rsid w:val="00DA0165"/>
    <w:rsid w:val="00DA761F"/>
    <w:rsid w:val="00DB1FBA"/>
    <w:rsid w:val="00DC651F"/>
    <w:rsid w:val="00DD215A"/>
    <w:rsid w:val="00DF1AB1"/>
    <w:rsid w:val="00DF3C85"/>
    <w:rsid w:val="00E05C9B"/>
    <w:rsid w:val="00E14BC2"/>
    <w:rsid w:val="00E1781E"/>
    <w:rsid w:val="00E34011"/>
    <w:rsid w:val="00E51140"/>
    <w:rsid w:val="00E55BE4"/>
    <w:rsid w:val="00E74194"/>
    <w:rsid w:val="00E7558F"/>
    <w:rsid w:val="00E852FD"/>
    <w:rsid w:val="00E93DF5"/>
    <w:rsid w:val="00E94A25"/>
    <w:rsid w:val="00E94A61"/>
    <w:rsid w:val="00EB4175"/>
    <w:rsid w:val="00EB48B8"/>
    <w:rsid w:val="00EC0C9E"/>
    <w:rsid w:val="00F10290"/>
    <w:rsid w:val="00F12761"/>
    <w:rsid w:val="00F16555"/>
    <w:rsid w:val="00F2069D"/>
    <w:rsid w:val="00F35208"/>
    <w:rsid w:val="00F3618C"/>
    <w:rsid w:val="00F52880"/>
    <w:rsid w:val="00F62A08"/>
    <w:rsid w:val="00F83D7C"/>
    <w:rsid w:val="00F86A6F"/>
    <w:rsid w:val="00FC4B98"/>
    <w:rsid w:val="00FD2DE6"/>
    <w:rsid w:val="00FE7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9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683"/>
    <w:pPr>
      <w:spacing w:before="120" w:after="120" w:line="240" w:lineRule="atLeast"/>
    </w:pPr>
    <w:rPr>
      <w:rFonts w:ascii="Arial" w:hAnsi="Arial"/>
      <w:sz w:val="19"/>
      <w:szCs w:val="24"/>
      <w:lang w:eastAsia="ja-JP"/>
    </w:rPr>
  </w:style>
  <w:style w:type="paragraph" w:styleId="Heading1">
    <w:name w:val="heading 1"/>
    <w:basedOn w:val="Normal"/>
    <w:next w:val="Normal"/>
    <w:qFormat/>
    <w:rsid w:val="008A5E5A"/>
    <w:pPr>
      <w:spacing w:before="240" w:line="320" w:lineRule="atLeast"/>
      <w:contextualSpacing/>
      <w:outlineLvl w:val="0"/>
    </w:pPr>
    <w:rPr>
      <w:b/>
      <w:spacing w:val="-4"/>
      <w:sz w:val="28"/>
      <w:szCs w:val="28"/>
    </w:rPr>
  </w:style>
  <w:style w:type="paragraph" w:styleId="Heading2">
    <w:name w:val="heading 2"/>
    <w:basedOn w:val="Normal"/>
    <w:next w:val="Normal"/>
    <w:qFormat/>
    <w:rsid w:val="00A718D6"/>
    <w:pPr>
      <w:keepNext/>
      <w:spacing w:before="200"/>
      <w:contextualSpacing/>
      <w:outlineLvl w:val="1"/>
    </w:pPr>
    <w:rPr>
      <w:rFonts w:cs="Arial"/>
      <w:b/>
      <w:bCs/>
      <w:iCs/>
      <w:sz w:val="20"/>
      <w:szCs w:val="28"/>
    </w:rPr>
  </w:style>
  <w:style w:type="paragraph" w:styleId="Heading3">
    <w:name w:val="heading 3"/>
    <w:basedOn w:val="Normal"/>
    <w:next w:val="Normal"/>
    <w:qFormat/>
    <w:rsid w:val="00C6699F"/>
    <w:pPr>
      <w:keepNext/>
      <w:contextualSpacing/>
      <w:outlineLvl w:val="2"/>
    </w:pPr>
    <w:rPr>
      <w:rFonts w:cs="Arial"/>
      <w:b/>
      <w:bCs/>
      <w:color w:val="003770"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33C7"/>
    <w:pPr>
      <w:tabs>
        <w:tab w:val="center" w:pos="4153"/>
        <w:tab w:val="right" w:pos="8306"/>
      </w:tabs>
      <w:spacing w:before="0"/>
    </w:pPr>
  </w:style>
  <w:style w:type="paragraph" w:styleId="Footer">
    <w:name w:val="footer"/>
    <w:basedOn w:val="Normal"/>
    <w:rsid w:val="008E00F6"/>
    <w:pPr>
      <w:tabs>
        <w:tab w:val="center" w:pos="4153"/>
        <w:tab w:val="right" w:pos="8306"/>
      </w:tabs>
      <w:spacing w:after="0"/>
    </w:pPr>
  </w:style>
  <w:style w:type="table" w:styleId="TableGrid">
    <w:name w:val="Table Grid"/>
    <w:basedOn w:val="TableNormal"/>
    <w:uiPriority w:val="59"/>
    <w:rsid w:val="00AF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8D41F6"/>
    <w:pPr>
      <w:spacing w:after="480" w:line="240" w:lineRule="auto"/>
      <w:contextualSpacing/>
    </w:pPr>
    <w:rPr>
      <w:b/>
      <w:color w:val="003770" w:themeColor="accent1"/>
      <w:spacing w:val="-4"/>
      <w:sz w:val="48"/>
      <w:szCs w:val="36"/>
    </w:rPr>
  </w:style>
  <w:style w:type="paragraph" w:styleId="Title">
    <w:name w:val="Title"/>
    <w:basedOn w:val="Normal"/>
    <w:qFormat/>
    <w:rsid w:val="00E74194"/>
    <w:pPr>
      <w:spacing w:before="0" w:after="0" w:line="240" w:lineRule="auto"/>
    </w:pPr>
    <w:rPr>
      <w:color w:val="003770" w:themeColor="accent1"/>
      <w:spacing w:val="-4"/>
      <w:sz w:val="64"/>
      <w:szCs w:val="66"/>
    </w:rPr>
  </w:style>
  <w:style w:type="paragraph" w:styleId="FootnoteText">
    <w:name w:val="footnote text"/>
    <w:basedOn w:val="Normal"/>
    <w:rsid w:val="008A5E5A"/>
    <w:pPr>
      <w:spacing w:line="240" w:lineRule="auto"/>
    </w:pPr>
    <w:rPr>
      <w:sz w:val="14"/>
      <w:szCs w:val="20"/>
    </w:rPr>
  </w:style>
  <w:style w:type="character" w:styleId="FootnoteReference">
    <w:name w:val="footnote reference"/>
    <w:basedOn w:val="DefaultParagraphFont"/>
    <w:semiHidden/>
    <w:rsid w:val="00DF3C85"/>
    <w:rPr>
      <w:vertAlign w:val="superscript"/>
    </w:rPr>
  </w:style>
  <w:style w:type="paragraph" w:customStyle="1" w:styleId="Disclaimer">
    <w:name w:val="Disclaimer"/>
    <w:basedOn w:val="Footer"/>
    <w:qFormat/>
    <w:rsid w:val="001417D2"/>
    <w:pPr>
      <w:spacing w:before="60" w:line="240" w:lineRule="auto"/>
    </w:pPr>
    <w:rPr>
      <w:color w:val="003770"/>
      <w:spacing w:val="-2"/>
      <w:sz w:val="14"/>
      <w:szCs w:val="14"/>
    </w:rPr>
  </w:style>
  <w:style w:type="table" w:customStyle="1" w:styleId="Counttable">
    <w:name w:val="Count table"/>
    <w:basedOn w:val="TableNormal"/>
    <w:rsid w:val="00A670AB"/>
    <w:rPr>
      <w:rFonts w:ascii="Arial" w:hAnsi="Arial"/>
      <w:sz w:val="18"/>
    </w:rPr>
    <w:tblPr>
      <w:tblInd w:w="85" w:type="dxa"/>
      <w:tblBorders>
        <w:bottom w:val="single" w:sz="4" w:space="0" w:color="003770" w:themeColor="accent1"/>
        <w:insideH w:val="single" w:sz="4" w:space="0" w:color="003770" w:themeColor="accent1"/>
        <w:insideV w:val="single" w:sz="4" w:space="0" w:color="003770" w:themeColor="accent1"/>
      </w:tblBorders>
      <w:tblCellMar>
        <w:top w:w="57" w:type="dxa"/>
        <w:left w:w="85" w:type="dxa"/>
        <w:bottom w:w="57" w:type="dxa"/>
        <w:right w:w="85" w:type="dxa"/>
      </w:tblCellMar>
    </w:tblPr>
    <w:tcPr>
      <w:shd w:val="clear" w:color="auto" w:fill="auto"/>
    </w:tcPr>
    <w:tblStylePr w:type="firstRow">
      <w:rPr>
        <w:b/>
        <w:color w:val="FFFFFF" w:themeColor="background1"/>
      </w:rPr>
      <w:tblPr/>
      <w:tcPr>
        <w:shd w:val="clear" w:color="auto" w:fill="003770" w:themeFill="accent1"/>
      </w:tcPr>
    </w:tblStylePr>
  </w:style>
  <w:style w:type="paragraph" w:customStyle="1" w:styleId="Footertext">
    <w:name w:val="Footer text"/>
    <w:basedOn w:val="Normal"/>
    <w:qFormat/>
    <w:rsid w:val="001417D2"/>
    <w:pPr>
      <w:spacing w:before="0" w:after="0" w:line="240" w:lineRule="auto"/>
    </w:pPr>
    <w:rPr>
      <w:spacing w:val="-4"/>
      <w:sz w:val="24"/>
      <w:szCs w:val="23"/>
    </w:rPr>
  </w:style>
  <w:style w:type="paragraph" w:customStyle="1" w:styleId="Tabletext">
    <w:name w:val="Table text"/>
    <w:basedOn w:val="Normal"/>
    <w:qFormat/>
    <w:rsid w:val="008A5E5A"/>
    <w:pPr>
      <w:spacing w:before="0" w:after="0" w:line="240" w:lineRule="auto"/>
    </w:pPr>
    <w:rPr>
      <w:sz w:val="18"/>
      <w:szCs w:val="18"/>
    </w:rPr>
  </w:style>
  <w:style w:type="paragraph" w:customStyle="1" w:styleId="FooterHeading1">
    <w:name w:val="Footer Heading 1"/>
    <w:basedOn w:val="Footertext"/>
    <w:qFormat/>
    <w:rsid w:val="001417D2"/>
    <w:pPr>
      <w:spacing w:after="60"/>
    </w:pPr>
    <w:rPr>
      <w:color w:val="003770"/>
      <w:sz w:val="36"/>
      <w:szCs w:val="36"/>
    </w:rPr>
  </w:style>
  <w:style w:type="paragraph" w:styleId="BalloonText">
    <w:name w:val="Balloon Text"/>
    <w:basedOn w:val="Normal"/>
    <w:link w:val="BalloonTextChar"/>
    <w:rsid w:val="006E5DB9"/>
    <w:pPr>
      <w:spacing w:before="0"/>
    </w:pPr>
    <w:rPr>
      <w:rFonts w:ascii="Tahoma" w:hAnsi="Tahoma" w:cs="Tahoma"/>
      <w:sz w:val="16"/>
      <w:szCs w:val="16"/>
    </w:rPr>
  </w:style>
  <w:style w:type="character" w:customStyle="1" w:styleId="BalloonTextChar">
    <w:name w:val="Balloon Text Char"/>
    <w:basedOn w:val="DefaultParagraphFont"/>
    <w:link w:val="BalloonText"/>
    <w:rsid w:val="006E5DB9"/>
    <w:rPr>
      <w:rFonts w:ascii="Tahoma" w:hAnsi="Tahoma" w:cs="Tahoma"/>
      <w:sz w:val="16"/>
      <w:szCs w:val="16"/>
      <w:lang w:eastAsia="ja-JP"/>
    </w:rPr>
  </w:style>
  <w:style w:type="paragraph" w:customStyle="1" w:styleId="Graphplacement">
    <w:name w:val="Graph placement"/>
    <w:basedOn w:val="Heading1"/>
    <w:next w:val="Normal"/>
    <w:qFormat/>
    <w:rsid w:val="008A7DFB"/>
    <w:pPr>
      <w:pBdr>
        <w:top w:val="single" w:sz="4" w:space="1" w:color="auto"/>
        <w:bottom w:val="single" w:sz="4" w:space="1" w:color="auto"/>
      </w:pBdr>
      <w:spacing w:after="240"/>
    </w:pPr>
    <w:rPr>
      <w:b w:val="0"/>
      <w:sz w:val="19"/>
    </w:rPr>
  </w:style>
  <w:style w:type="paragraph" w:styleId="ListParagraph">
    <w:name w:val="List Paragraph"/>
    <w:aliases w:val="List Level 1"/>
    <w:basedOn w:val="Normal"/>
    <w:link w:val="ListParagraphChar"/>
    <w:uiPriority w:val="34"/>
    <w:qFormat/>
    <w:rsid w:val="00A01C5B"/>
    <w:pPr>
      <w:ind w:left="720"/>
      <w:contextualSpacing/>
    </w:pPr>
  </w:style>
  <w:style w:type="paragraph" w:customStyle="1" w:styleId="Introtext">
    <w:name w:val="Intro text"/>
    <w:basedOn w:val="Heading1"/>
    <w:qFormat/>
    <w:rsid w:val="001417D2"/>
    <w:pPr>
      <w:spacing w:before="0" w:after="360"/>
    </w:pPr>
    <w:rPr>
      <w:b w:val="0"/>
      <w:color w:val="003770"/>
    </w:rPr>
  </w:style>
  <w:style w:type="paragraph" w:styleId="ListBullet">
    <w:name w:val="List Bullet"/>
    <w:basedOn w:val="Normal"/>
    <w:qFormat/>
    <w:rsid w:val="00986EE3"/>
    <w:pPr>
      <w:numPr>
        <w:numId w:val="3"/>
      </w:numPr>
    </w:pPr>
  </w:style>
  <w:style w:type="paragraph" w:styleId="Date">
    <w:name w:val="Date"/>
    <w:basedOn w:val="Normal"/>
    <w:next w:val="Normal"/>
    <w:link w:val="DateChar"/>
    <w:rsid w:val="000A5F74"/>
    <w:pPr>
      <w:spacing w:before="0" w:after="0" w:line="240" w:lineRule="auto"/>
    </w:pPr>
    <w:rPr>
      <w:color w:val="003770" w:themeColor="accent1"/>
      <w:sz w:val="28"/>
      <w:szCs w:val="28"/>
    </w:rPr>
  </w:style>
  <w:style w:type="character" w:customStyle="1" w:styleId="DateChar">
    <w:name w:val="Date Char"/>
    <w:basedOn w:val="DefaultParagraphFont"/>
    <w:link w:val="Date"/>
    <w:rsid w:val="000A5F74"/>
    <w:rPr>
      <w:rFonts w:ascii="Arial" w:hAnsi="Arial"/>
      <w:color w:val="003770" w:themeColor="accent1"/>
      <w:sz w:val="28"/>
      <w:szCs w:val="28"/>
      <w:lang w:eastAsia="ja-JP"/>
    </w:rPr>
  </w:style>
  <w:style w:type="character" w:customStyle="1" w:styleId="ListParagraphChar">
    <w:name w:val="List Paragraph Char"/>
    <w:aliases w:val="List Level 1 Char"/>
    <w:basedOn w:val="DefaultParagraphFont"/>
    <w:link w:val="ListParagraph"/>
    <w:uiPriority w:val="34"/>
    <w:rsid w:val="00227E86"/>
    <w:rPr>
      <w:rFonts w:ascii="Arial" w:hAnsi="Arial"/>
      <w:sz w:val="19"/>
      <w:szCs w:val="24"/>
      <w:lang w:eastAsia="ja-JP"/>
    </w:rPr>
  </w:style>
  <w:style w:type="character" w:styleId="Emphasis">
    <w:name w:val="Emphasis"/>
    <w:basedOn w:val="DefaultParagraphFont"/>
    <w:uiPriority w:val="20"/>
    <w:qFormat/>
    <w:rsid w:val="00227E86"/>
    <w:rPr>
      <w:i/>
      <w:iCs/>
    </w:rPr>
  </w:style>
  <w:style w:type="character" w:customStyle="1" w:styleId="apple-converted-space">
    <w:name w:val="apple-converted-space"/>
    <w:basedOn w:val="DefaultParagraphFont"/>
    <w:rsid w:val="0022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unt">
      <a:dk1>
        <a:sysClr val="windowText" lastClr="000000"/>
      </a:dk1>
      <a:lt1>
        <a:sysClr val="window" lastClr="FFFFFF"/>
      </a:lt1>
      <a:dk2>
        <a:srgbClr val="000000"/>
      </a:dk2>
      <a:lt2>
        <a:srgbClr val="FFFFFF"/>
      </a:lt2>
      <a:accent1>
        <a:srgbClr val="003770"/>
      </a:accent1>
      <a:accent2>
        <a:srgbClr val="91B2C4"/>
      </a:accent2>
      <a:accent3>
        <a:srgbClr val="007E98"/>
      </a:accent3>
      <a:accent4>
        <a:srgbClr val="F68B1F"/>
      </a:accent4>
      <a:accent5>
        <a:srgbClr val="808080"/>
      </a:accent5>
      <a:accent6>
        <a:srgbClr val="C5C5C5"/>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C097-6AF4-4E24-8540-2B0879FA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2026-03-14T00:47:00Z</dcterms:created>
  <dcterms:modified xsi:type="dcterms:W3CDTF">2026-03-14T00:47:00Z</dcterms:modified>
</cp:coreProperties>
</file>